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71" w:rsidRPr="000A2EDE" w:rsidRDefault="001C5671" w:rsidP="001C5671">
      <w:pPr>
        <w:pStyle w:val="Title"/>
        <w:rPr>
          <w:sz w:val="28"/>
          <w:szCs w:val="28"/>
          <w:lang w:val="en-CA"/>
        </w:rPr>
      </w:pPr>
      <w:r w:rsidRPr="00A406D9">
        <w:rPr>
          <w:sz w:val="28"/>
          <w:szCs w:val="28"/>
          <w:lang w:val="en-CA"/>
        </w:rPr>
        <w:t>Release Notes</w:t>
      </w:r>
    </w:p>
    <w:p w:rsidR="000A2EDE" w:rsidRDefault="001027AD" w:rsidP="00A748D0">
      <w:pPr>
        <w:pStyle w:val="Title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Canada’s Third Biennial Plan to the Open Government Partnership (2016-2018)</w:t>
      </w:r>
      <w:r w:rsidR="00281C29">
        <w:rPr>
          <w:sz w:val="28"/>
          <w:szCs w:val="28"/>
          <w:lang w:val="en-CA"/>
        </w:rPr>
        <w:t xml:space="preserve"> </w:t>
      </w:r>
      <w:r w:rsidR="0037761A" w:rsidRPr="00A406D9">
        <w:rPr>
          <w:sz w:val="28"/>
          <w:szCs w:val="28"/>
          <w:lang w:val="en-CA"/>
        </w:rPr>
        <w:t xml:space="preserve">Consultation Data </w:t>
      </w:r>
    </w:p>
    <w:p w:rsidR="00281C29" w:rsidRDefault="00281C29" w:rsidP="002A5958">
      <w:pPr>
        <w:pStyle w:val="Heading2"/>
      </w:pPr>
      <w:r>
        <w:t xml:space="preserve">Series Name: </w:t>
      </w:r>
      <w:r w:rsidRPr="00281C29">
        <w:t>Open Government Action Plan Consultation Data</w:t>
      </w:r>
      <w:r w:rsidR="00DE3C67">
        <w:t xml:space="preserve"> (2016)</w:t>
      </w:r>
    </w:p>
    <w:p w:rsidR="001C5671" w:rsidRDefault="001C5671" w:rsidP="001C5671"/>
    <w:p w:rsidR="001C5671" w:rsidRDefault="001C5671" w:rsidP="001C5671">
      <w:pPr>
        <w:pStyle w:val="Heading2"/>
      </w:pPr>
      <w:r>
        <w:t>Key Words</w:t>
      </w:r>
    </w:p>
    <w:p w:rsidR="001C5671" w:rsidRPr="001C5671" w:rsidRDefault="001027AD" w:rsidP="001C5671">
      <w:r>
        <w:t>3BP</w:t>
      </w:r>
      <w:r w:rsidR="001C5671">
        <w:t>, Open Government Action Plan, Co</w:t>
      </w:r>
      <w:r w:rsidR="00DE3C67">
        <w:t>nsultation, Consultations, National Action Plan</w:t>
      </w:r>
      <w:r w:rsidR="001C5671">
        <w:t>,</w:t>
      </w:r>
      <w:r w:rsidR="00DE3C67">
        <w:t xml:space="preserve"> NAP, </w:t>
      </w:r>
      <w:r w:rsidR="001C5671">
        <w:t xml:space="preserve"> Public Consultation, Public Consultations, </w:t>
      </w:r>
      <w:r w:rsidR="000638C2">
        <w:t xml:space="preserve">Comments, OGP, Open Government Partnership, What We Heard. </w:t>
      </w:r>
    </w:p>
    <w:p w:rsidR="00281C29" w:rsidRPr="00281C29" w:rsidRDefault="00281C29" w:rsidP="00281C29"/>
    <w:p w:rsidR="002A5958" w:rsidRDefault="002A5958" w:rsidP="002A5958">
      <w:pPr>
        <w:pStyle w:val="Heading2"/>
      </w:pPr>
      <w:r>
        <w:t>Series Description</w:t>
      </w:r>
      <w:r w:rsidR="00281C29">
        <w:t>:</w:t>
      </w:r>
    </w:p>
    <w:p w:rsidR="002A5958" w:rsidRDefault="002A5958" w:rsidP="002A5958">
      <w:r>
        <w:t xml:space="preserve">From </w:t>
      </w:r>
      <w:r w:rsidR="001027AD">
        <w:t>March 31</w:t>
      </w:r>
      <w:r w:rsidRPr="00AA6B64">
        <w:t xml:space="preserve"> </w:t>
      </w:r>
      <w:r w:rsidR="00EB2A72">
        <w:t>to</w:t>
      </w:r>
      <w:r w:rsidRPr="00AA6B64">
        <w:t xml:space="preserve"> </w:t>
      </w:r>
      <w:r w:rsidR="001027AD">
        <w:t>July 15,</w:t>
      </w:r>
      <w:r w:rsidRPr="00AA6B64">
        <w:t xml:space="preserve"> 201</w:t>
      </w:r>
      <w:r w:rsidR="001027AD">
        <w:t>6</w:t>
      </w:r>
      <w:r w:rsidRPr="00AA6B64">
        <w:t>,</w:t>
      </w:r>
      <w:r>
        <w:t xml:space="preserve"> the Government of Canada conducted public consultations in support of developing </w:t>
      </w:r>
      <w:r w:rsidR="001027AD">
        <w:t xml:space="preserve">Canada’s Third Biennial Plan to the Open </w:t>
      </w:r>
      <w:bookmarkStart w:id="0" w:name="_GoBack"/>
      <w:bookmarkEnd w:id="0"/>
      <w:r w:rsidR="001027AD">
        <w:t>Government Partnership (2016-2018)</w:t>
      </w:r>
      <w:r>
        <w:t xml:space="preserve">.  The datasets contain the comments, questions and ideas received, as well as the coding added to conduct the qualitative analysis. </w:t>
      </w:r>
      <w:r w:rsidR="00DE3C67">
        <w:t>Private p</w:t>
      </w:r>
      <w:r>
        <w:t xml:space="preserve">ersonal identifiers have been removed from the data. </w:t>
      </w:r>
      <w:r w:rsidRPr="00AA6B64">
        <w:t>There are two sets of data</w:t>
      </w:r>
      <w:r w:rsidR="00AC4200">
        <w:t>:</w:t>
      </w:r>
      <w:r w:rsidRPr="00AA6B64">
        <w:t xml:space="preserve"> one entitled</w:t>
      </w:r>
      <w:r>
        <w:t xml:space="preserve"> </w:t>
      </w:r>
      <w:r w:rsidR="00AC4200">
        <w:t>“</w:t>
      </w:r>
      <w:r w:rsidRPr="00AA6B64">
        <w:t>Compilation</w:t>
      </w:r>
      <w:r w:rsidR="00AC4200">
        <w:t>”</w:t>
      </w:r>
      <w:r w:rsidRPr="00AA6B64">
        <w:t xml:space="preserve"> and the other</w:t>
      </w:r>
      <w:r w:rsidR="00AC4200">
        <w:t>,</w:t>
      </w:r>
      <w:r w:rsidRPr="00AA6B64">
        <w:t xml:space="preserve"> </w:t>
      </w:r>
      <w:r w:rsidR="00AC4200">
        <w:t>“</w:t>
      </w:r>
      <w:r w:rsidRPr="00AA6B64">
        <w:t>Individual Comments</w:t>
      </w:r>
      <w:r w:rsidR="00AC4200">
        <w:t>”</w:t>
      </w:r>
      <w:r w:rsidRPr="00AA6B64">
        <w:t>,</w:t>
      </w:r>
      <w:r>
        <w:t xml:space="preserve"> as well as a supporting document entitled release notes that describes the content in detail. </w:t>
      </w:r>
    </w:p>
    <w:p w:rsidR="00BE2DA1" w:rsidRDefault="00BE2DA1" w:rsidP="00BF4563">
      <w:r>
        <w:t>For additional information on the methodology used</w:t>
      </w:r>
      <w:r w:rsidR="00AC4200">
        <w:t>,</w:t>
      </w:r>
      <w:r>
        <w:t xml:space="preserve"> please see the </w:t>
      </w:r>
      <w:r w:rsidR="00AC4200">
        <w:t>“</w:t>
      </w:r>
      <w:r w:rsidR="001E7E6D">
        <w:t>Gathering and A</w:t>
      </w:r>
      <w:r w:rsidR="00EE1534">
        <w:t>nalysis</w:t>
      </w:r>
      <w:r w:rsidR="00AC4200">
        <w:t>”</w:t>
      </w:r>
      <w:r w:rsidR="00EE1534">
        <w:t xml:space="preserve"> </w:t>
      </w:r>
      <w:r>
        <w:t xml:space="preserve">section of the </w:t>
      </w:r>
      <w:r w:rsidRPr="00616C86">
        <w:t>“</w:t>
      </w:r>
      <w:commentRangeStart w:id="1"/>
      <w:r w:rsidRPr="00616C86">
        <w:t>What We Heard” report</w:t>
      </w:r>
      <w:r>
        <w:t xml:space="preserve">. </w:t>
      </w:r>
      <w:commentRangeEnd w:id="1"/>
      <w:r w:rsidR="00616C86">
        <w:rPr>
          <w:rStyle w:val="CommentReference"/>
        </w:rPr>
        <w:commentReference w:id="1"/>
      </w:r>
    </w:p>
    <w:p w:rsidR="00010F1F" w:rsidRPr="00AA6B64" w:rsidRDefault="00010F1F" w:rsidP="00010F1F">
      <w:pPr>
        <w:rPr>
          <w:b/>
        </w:rPr>
      </w:pPr>
    </w:p>
    <w:p w:rsidR="00EE45AE" w:rsidRPr="00AA6B64" w:rsidRDefault="00A748D0" w:rsidP="00A748D0">
      <w:pPr>
        <w:pStyle w:val="Heading2"/>
      </w:pPr>
      <w:r w:rsidRPr="00AA6B64">
        <w:t>Official Languages:</w:t>
      </w:r>
    </w:p>
    <w:p w:rsidR="00642F47" w:rsidRPr="00AA6B64" w:rsidRDefault="00642F47" w:rsidP="00642F47">
      <w:r w:rsidRPr="00AA6B64">
        <w:t>Consultations were conducted in</w:t>
      </w:r>
      <w:r w:rsidR="009E2F49" w:rsidRPr="00AA6B64">
        <w:t xml:space="preserve"> English and French, and comments</w:t>
      </w:r>
      <w:r w:rsidRPr="00AA6B64">
        <w:t xml:space="preserve"> were always </w:t>
      </w:r>
      <w:r w:rsidR="009E2F49" w:rsidRPr="00AA6B64">
        <w:t>encouraged</w:t>
      </w:r>
      <w:r w:rsidRPr="00AA6B64">
        <w:t xml:space="preserve"> in either official language. </w:t>
      </w:r>
    </w:p>
    <w:p w:rsidR="00C256D6" w:rsidRDefault="00C256D6" w:rsidP="00D63EA6">
      <w:r w:rsidRPr="00C256D6">
        <w:t>Comments and summaries provided by citizens who participated in the consultations appear in the langua</w:t>
      </w:r>
      <w:r>
        <w:t>ge in which they were provided.</w:t>
      </w:r>
    </w:p>
    <w:p w:rsidR="00DE3C67" w:rsidRDefault="0048651D" w:rsidP="00D63EA6">
      <w:r w:rsidRPr="00AA6B64">
        <w:t>S</w:t>
      </w:r>
      <w:r w:rsidR="00EE45AE" w:rsidRPr="00AA6B64">
        <w:t xml:space="preserve">ummary notes created by government employees </w:t>
      </w:r>
      <w:r w:rsidR="00584324">
        <w:t xml:space="preserve">and the complete </w:t>
      </w:r>
      <w:r w:rsidR="006E76C3">
        <w:t>“</w:t>
      </w:r>
      <w:r w:rsidR="00584324">
        <w:t>What We Heard</w:t>
      </w:r>
      <w:r w:rsidR="006E76C3">
        <w:t>”</w:t>
      </w:r>
      <w:r w:rsidR="00584324">
        <w:t xml:space="preserve"> report </w:t>
      </w:r>
      <w:r w:rsidR="006E76C3" w:rsidRPr="00AA6B64">
        <w:t xml:space="preserve">are provided </w:t>
      </w:r>
      <w:r w:rsidR="006E76C3">
        <w:t>in both official languages</w:t>
      </w:r>
      <w:r w:rsidR="00584324">
        <w:t>.</w:t>
      </w:r>
    </w:p>
    <w:p w:rsidR="00EE4219" w:rsidRDefault="000A2EDE" w:rsidP="00D63EA6">
      <w:r>
        <w:t>Eac</w:t>
      </w:r>
      <w:r w:rsidR="00EB2A72">
        <w:t>h dataset is described</w:t>
      </w:r>
      <w:r>
        <w:t xml:space="preserve"> </w:t>
      </w:r>
      <w:r w:rsidRPr="00AA6B64">
        <w:t>below</w:t>
      </w:r>
      <w:r w:rsidR="00EB2A72">
        <w:t xml:space="preserve">, along with a list of abbreviations at the end of the document. </w:t>
      </w:r>
      <w:r w:rsidR="002A5958">
        <w:t xml:space="preserve"> </w:t>
      </w:r>
      <w:r>
        <w:t xml:space="preserve"> </w:t>
      </w:r>
    </w:p>
    <w:p w:rsidR="00D63EA6" w:rsidRPr="00AA6B64" w:rsidRDefault="00D63EA6" w:rsidP="00BF4563"/>
    <w:p w:rsidR="00A46600" w:rsidRPr="00AA6B64" w:rsidRDefault="00862A5A" w:rsidP="00A748D0">
      <w:pPr>
        <w:pStyle w:val="Heading1"/>
      </w:pPr>
      <w:r>
        <w:t xml:space="preserve">Compilation </w:t>
      </w:r>
      <w:r w:rsidR="00281C29">
        <w:t xml:space="preserve">—Open Government Action Plan </w:t>
      </w:r>
      <w:r w:rsidR="00BE2DA1">
        <w:t xml:space="preserve">Consultation Data </w:t>
      </w:r>
      <w:r w:rsidR="00DE3C67">
        <w:t>(2016)</w:t>
      </w:r>
    </w:p>
    <w:p w:rsidR="00C24A0A" w:rsidRDefault="00C24A0A" w:rsidP="00C24A0A">
      <w:pPr>
        <w:pStyle w:val="Heading2"/>
      </w:pPr>
      <w:r>
        <w:t>Description:</w:t>
      </w:r>
    </w:p>
    <w:p w:rsidR="00A46600" w:rsidRPr="00AA6B64" w:rsidRDefault="00862A5A" w:rsidP="00BF4563">
      <w:r>
        <w:t xml:space="preserve">The dataset </w:t>
      </w:r>
      <w:r w:rsidR="00A46600" w:rsidRPr="00AA6B64">
        <w:t xml:space="preserve">includes comments, questions </w:t>
      </w:r>
      <w:r w:rsidR="00BF4563" w:rsidRPr="00AA6B64">
        <w:t>and ideas from a variety of sources identified in the</w:t>
      </w:r>
      <w:r w:rsidR="00A46600" w:rsidRPr="00AA6B64">
        <w:t xml:space="preserve"> </w:t>
      </w:r>
      <w:r>
        <w:t>s</w:t>
      </w:r>
      <w:r w:rsidR="00A46600" w:rsidRPr="00AA6B64">
        <w:t xml:space="preserve">ource </w:t>
      </w:r>
      <w:r w:rsidR="00C43BB9" w:rsidRPr="00AA6B64">
        <w:t>field;</w:t>
      </w:r>
      <w:r w:rsidR="00A46600" w:rsidRPr="00AA6B64">
        <w:t xml:space="preserve"> these include web comments, in-person event table worksheets, meeting notes, and social media posts. </w:t>
      </w:r>
      <w:r w:rsidR="009172A7" w:rsidRPr="00AA6B64">
        <w:t xml:space="preserve">The compilation data includes data from two fields also found in the Individual Comments data. </w:t>
      </w:r>
    </w:p>
    <w:p w:rsidR="00A748D0" w:rsidRPr="00AA6B64" w:rsidRDefault="0069303F" w:rsidP="00A748D0">
      <w:pPr>
        <w:pStyle w:val="Heading2"/>
      </w:pPr>
      <w:r w:rsidRPr="00AA6B64">
        <w:lastRenderedPageBreak/>
        <w:br/>
      </w:r>
      <w:r w:rsidR="00CB65AD" w:rsidRPr="00AA6B64">
        <w:t xml:space="preserve">Field Descriptions: </w:t>
      </w:r>
    </w:p>
    <w:p w:rsidR="0069303F" w:rsidRDefault="00BE2DA1" w:rsidP="002D3E4F">
      <w:r w:rsidRPr="00AA6B64">
        <w:rPr>
          <w:b/>
        </w:rPr>
        <w:t>Row#</w:t>
      </w:r>
      <w:r w:rsidRPr="00AA6B64">
        <w:t xml:space="preserve"> - is a unique identifier</w:t>
      </w:r>
    </w:p>
    <w:p w:rsidR="00973494" w:rsidRPr="00AA6B64" w:rsidRDefault="00973494" w:rsidP="00973494">
      <w:r>
        <w:rPr>
          <w:b/>
        </w:rPr>
        <w:t>V</w:t>
      </w:r>
      <w:r w:rsidRPr="00AA6B64">
        <w:rPr>
          <w:b/>
        </w:rPr>
        <w:t>otes</w:t>
      </w:r>
      <w:r w:rsidRPr="00AA6B64">
        <w:t xml:space="preserve"> – some ideas generated online have </w:t>
      </w:r>
      <w:r w:rsidR="006E76C3">
        <w:t>“</w:t>
      </w:r>
      <w:r w:rsidRPr="00AA6B64">
        <w:t>votes</w:t>
      </w:r>
      <w:r w:rsidR="006E76C3">
        <w:t>”. Where</w:t>
      </w:r>
      <w:r>
        <w:t xml:space="preserve"> the result is a number</w:t>
      </w:r>
      <w:r w:rsidR="006E76C3">
        <w:t>, it</w:t>
      </w:r>
      <w:r>
        <w:t xml:space="preserve"> indicates the number of votes the idea received, </w:t>
      </w:r>
      <w:r w:rsidR="006E76C3">
        <w:t>where</w:t>
      </w:r>
      <w:r>
        <w:t xml:space="preserve"> it is Yes, it indicates that it was the number one idea from an in-person table as determined by the table, </w:t>
      </w:r>
      <w:r w:rsidR="006E76C3">
        <w:t>and where</w:t>
      </w:r>
      <w:r>
        <w:t xml:space="preserve"> there is no entry, there are no votes associated with that comment. </w:t>
      </w:r>
    </w:p>
    <w:p w:rsidR="00C27488" w:rsidRPr="001E2D08" w:rsidRDefault="00973494" w:rsidP="00C27488">
      <w:r w:rsidRPr="00AA6B64">
        <w:rPr>
          <w:b/>
        </w:rPr>
        <w:t xml:space="preserve">Context </w:t>
      </w:r>
      <w:r w:rsidR="009C1B23">
        <w:t>– a</w:t>
      </w:r>
      <w:r w:rsidRPr="00AA6B64">
        <w:t>dditional contex</w:t>
      </w:r>
      <w:r w:rsidR="009C1B23">
        <w:t xml:space="preserve">t is provided for the comment which </w:t>
      </w:r>
      <w:r w:rsidR="002D3E4F">
        <w:t>is dependent upon the source. In the case of most web comments</w:t>
      </w:r>
      <w:r w:rsidR="00B75673">
        <w:t>,</w:t>
      </w:r>
      <w:r w:rsidR="002D3E4F">
        <w:t xml:space="preserve"> the context is the name of the web page or idea that the comment is associated with. In the case of twitter comments, the context refers to </w:t>
      </w:r>
      <w:r w:rsidR="009C1B23">
        <w:t>whether</w:t>
      </w:r>
      <w:r w:rsidR="002D3E4F">
        <w:t xml:space="preserve"> the comment is a directly associated with the actio</w:t>
      </w:r>
      <w:r w:rsidR="00706BED">
        <w:t xml:space="preserve">n plan (AP) </w:t>
      </w:r>
      <w:r w:rsidR="002D3E4F">
        <w:t xml:space="preserve">or refers to a blog or web site that is indirectly associated with the plan.  </w:t>
      </w:r>
      <w:r w:rsidR="009C1B23">
        <w:t>In the case of in-person events</w:t>
      </w:r>
      <w:r w:rsidR="00B75673">
        <w:t>,</w:t>
      </w:r>
      <w:r w:rsidR="009C1B23">
        <w:t xml:space="preserve"> the context refers to the focus question the comment relates to. </w:t>
      </w:r>
      <w:r w:rsidR="002D3E4F">
        <w:br/>
      </w:r>
      <w:r w:rsidR="00C27488" w:rsidRPr="00AA6B64">
        <w:br/>
      </w:r>
      <w:r w:rsidR="00C27488" w:rsidRPr="00AA6B64">
        <w:rPr>
          <w:b/>
        </w:rPr>
        <w:t xml:space="preserve">Source </w:t>
      </w:r>
      <w:r w:rsidR="00C27488" w:rsidRPr="00AA6B64">
        <w:t>– identifies the source of the comment</w:t>
      </w:r>
      <w:r w:rsidR="00C27488">
        <w:t>: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Indv Comment</w:t>
      </w:r>
      <w:r>
        <w:rPr>
          <w:lang w:eastAsia="en-CA"/>
        </w:rPr>
        <w:t xml:space="preserve"> – transcribed from an in-person, individual comment form</w:t>
      </w:r>
      <w:r w:rsidR="00544899">
        <w:rPr>
          <w:lang w:eastAsia="en-CA"/>
        </w:rPr>
        <w:t>,</w:t>
      </w:r>
      <w:r>
        <w:rPr>
          <w:lang w:eastAsia="en-CA"/>
        </w:rPr>
        <w:t xml:space="preserve"> </w:t>
      </w:r>
      <w:r w:rsidR="00B75673">
        <w:rPr>
          <w:lang w:eastAsia="en-CA"/>
        </w:rPr>
        <w:t>created</w:t>
      </w:r>
      <w:r>
        <w:rPr>
          <w:lang w:eastAsia="en-CA"/>
        </w:rPr>
        <w:t xml:space="preserve"> by participants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Group Comment</w:t>
      </w:r>
      <w:r>
        <w:rPr>
          <w:lang w:eastAsia="en-CA"/>
        </w:rPr>
        <w:t xml:space="preserve"> – transcribed from an in-person table discussion form</w:t>
      </w:r>
      <w:r w:rsidR="00544899">
        <w:rPr>
          <w:lang w:eastAsia="en-CA"/>
        </w:rPr>
        <w:t>,</w:t>
      </w:r>
      <w:r>
        <w:rPr>
          <w:lang w:eastAsia="en-CA"/>
        </w:rPr>
        <w:t xml:space="preserve"> </w:t>
      </w:r>
      <w:r w:rsidR="00B75673">
        <w:rPr>
          <w:lang w:eastAsia="en-CA"/>
        </w:rPr>
        <w:t>created</w:t>
      </w:r>
      <w:r>
        <w:rPr>
          <w:lang w:eastAsia="en-CA"/>
        </w:rPr>
        <w:t xml:space="preserve"> by participants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Meeting Report</w:t>
      </w:r>
      <w:r>
        <w:rPr>
          <w:lang w:eastAsia="en-CA"/>
        </w:rPr>
        <w:t xml:space="preserve"> – report on bilateral or multilateral meeting with stakeholders</w:t>
      </w:r>
      <w:r w:rsidR="00544899">
        <w:rPr>
          <w:lang w:eastAsia="en-CA"/>
        </w:rPr>
        <w:t>,</w:t>
      </w:r>
      <w:r>
        <w:rPr>
          <w:lang w:eastAsia="en-CA"/>
        </w:rPr>
        <w:t xml:space="preserve"> created by open government staff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Event Report</w:t>
      </w:r>
      <w:r>
        <w:rPr>
          <w:lang w:eastAsia="en-CA"/>
        </w:rPr>
        <w:t>– report on conversations at third party events with stakeholders</w:t>
      </w:r>
      <w:r w:rsidR="00544899">
        <w:rPr>
          <w:lang w:eastAsia="en-CA"/>
        </w:rPr>
        <w:t>,</w:t>
      </w:r>
      <w:r>
        <w:rPr>
          <w:lang w:eastAsia="en-CA"/>
        </w:rPr>
        <w:t xml:space="preserve"> created by open government staff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Facilitator Notes</w:t>
      </w:r>
      <w:r>
        <w:rPr>
          <w:lang w:eastAsia="en-CA"/>
        </w:rPr>
        <w:t>– notes taken during a workshop or roundtable</w:t>
      </w:r>
      <w:r w:rsidR="00544899">
        <w:rPr>
          <w:lang w:eastAsia="en-CA"/>
        </w:rPr>
        <w:t>,</w:t>
      </w:r>
      <w:r>
        <w:rPr>
          <w:lang w:eastAsia="en-CA"/>
        </w:rPr>
        <w:t xml:space="preserve"> created by the facilitator 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Other In person</w:t>
      </w:r>
      <w:r>
        <w:rPr>
          <w:lang w:eastAsia="en-CA"/>
        </w:rPr>
        <w:t xml:space="preserve"> </w:t>
      </w:r>
      <w:r w:rsidR="00D9054F">
        <w:rPr>
          <w:lang w:eastAsia="en-CA"/>
        </w:rPr>
        <w:t>–</w:t>
      </w:r>
      <w:r>
        <w:rPr>
          <w:lang w:eastAsia="en-CA"/>
        </w:rPr>
        <w:t xml:space="preserve"> </w:t>
      </w:r>
      <w:r w:rsidR="00D9054F">
        <w:rPr>
          <w:lang w:eastAsia="en-CA"/>
        </w:rPr>
        <w:t xml:space="preserve">notes taken from </w:t>
      </w:r>
      <w:r>
        <w:rPr>
          <w:lang w:eastAsia="en-CA"/>
        </w:rPr>
        <w:t>internal and ad hoc conversations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Suggest an Idea</w:t>
      </w:r>
      <w:r>
        <w:rPr>
          <w:lang w:eastAsia="en-CA"/>
        </w:rPr>
        <w:t xml:space="preserve"> – participants suggest</w:t>
      </w:r>
      <w:r w:rsidR="00D9054F">
        <w:rPr>
          <w:lang w:eastAsia="en-CA"/>
        </w:rPr>
        <w:t>ed</w:t>
      </w:r>
      <w:r>
        <w:rPr>
          <w:lang w:eastAsia="en-CA"/>
        </w:rPr>
        <w:t xml:space="preserve"> an idea for inclusion in the plan via a web form at open.canada.ca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 xml:space="preserve">Idea Comment </w:t>
      </w:r>
      <w:r>
        <w:rPr>
          <w:lang w:eastAsia="en-CA"/>
        </w:rPr>
        <w:t xml:space="preserve"> - participants comment</w:t>
      </w:r>
      <w:r w:rsidR="00D9054F">
        <w:rPr>
          <w:lang w:eastAsia="en-CA"/>
        </w:rPr>
        <w:t>ed</w:t>
      </w:r>
      <w:r>
        <w:rPr>
          <w:lang w:eastAsia="en-CA"/>
        </w:rPr>
        <w:t xml:space="preserve"> on an idea via a web form at open.canada.ca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 xml:space="preserve">DP- Web Comment </w:t>
      </w:r>
      <w:r>
        <w:rPr>
          <w:lang w:eastAsia="en-CA"/>
        </w:rPr>
        <w:t>– participants comment</w:t>
      </w:r>
      <w:r w:rsidR="00D9054F">
        <w:rPr>
          <w:lang w:eastAsia="en-CA"/>
        </w:rPr>
        <w:t>ed</w:t>
      </w:r>
      <w:r>
        <w:rPr>
          <w:lang w:eastAsia="en-CA"/>
        </w:rPr>
        <w:t xml:space="preserve"> on the draft action plan via a web form at open.canada.ca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Other Open.Canada.ca</w:t>
      </w:r>
      <w:r>
        <w:rPr>
          <w:lang w:eastAsia="en-CA"/>
        </w:rPr>
        <w:t xml:space="preserve"> – relevant participant comments from any web form at open.canada.ca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Other online</w:t>
      </w:r>
      <w:r>
        <w:rPr>
          <w:lang w:eastAsia="en-CA"/>
        </w:rPr>
        <w:t xml:space="preserve"> – relevant comments from other online sources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Twitter</w:t>
      </w:r>
      <w:r>
        <w:rPr>
          <w:lang w:eastAsia="en-CA"/>
        </w:rPr>
        <w:t xml:space="preserve"> – Relevant comments using the hashtags #OpenGovCan and #GouvertCan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Twitter - Google Hangout</w:t>
      </w:r>
      <w:r>
        <w:rPr>
          <w:lang w:eastAsia="en-CA"/>
        </w:rPr>
        <w:t xml:space="preserve"> – comments associated with the April 6, 2016 hangout hosted by the </w:t>
      </w:r>
      <w:r w:rsidR="00D9054F">
        <w:rPr>
          <w:lang w:eastAsia="en-CA"/>
        </w:rPr>
        <w:t>President of the Treasury Board</w:t>
      </w:r>
      <w:r>
        <w:rPr>
          <w:lang w:eastAsia="en-CA"/>
        </w:rPr>
        <w:t xml:space="preserve">. 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Other SocMed</w:t>
      </w:r>
      <w:r>
        <w:rPr>
          <w:lang w:eastAsia="en-CA"/>
        </w:rPr>
        <w:t xml:space="preserve"> </w:t>
      </w:r>
      <w:r w:rsidR="00B5327D">
        <w:rPr>
          <w:lang w:eastAsia="en-CA"/>
        </w:rPr>
        <w:t>–</w:t>
      </w:r>
      <w:r>
        <w:rPr>
          <w:lang w:eastAsia="en-CA"/>
        </w:rPr>
        <w:t xml:space="preserve"> </w:t>
      </w:r>
      <w:r w:rsidR="00B5327D">
        <w:rPr>
          <w:lang w:eastAsia="en-CA"/>
        </w:rPr>
        <w:t xml:space="preserve">other social media, </w:t>
      </w:r>
      <w:r>
        <w:rPr>
          <w:lang w:eastAsia="en-CA"/>
        </w:rPr>
        <w:t>usually a blog that comments directly on the action plan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Email</w:t>
      </w:r>
      <w:r>
        <w:rPr>
          <w:lang w:eastAsia="en-CA"/>
        </w:rPr>
        <w:t xml:space="preserve"> – comments received at the open-ouvert@gc.ca mailbox</w:t>
      </w:r>
    </w:p>
    <w:p w:rsidR="002833A5" w:rsidRPr="00973494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lastRenderedPageBreak/>
        <w:t>Contact Us</w:t>
      </w:r>
      <w:r>
        <w:rPr>
          <w:lang w:eastAsia="en-CA"/>
        </w:rPr>
        <w:t xml:space="preserve"> – comments from participants via the contact us form at </w:t>
      </w:r>
      <w:r w:rsidRPr="009A63CD">
        <w:rPr>
          <w:lang w:eastAsia="en-CA"/>
        </w:rPr>
        <w:t>open.canada.ca</w:t>
      </w:r>
    </w:p>
    <w:p w:rsidR="002833A5" w:rsidRPr="009A63CD" w:rsidRDefault="002833A5" w:rsidP="002833A5">
      <w:pPr>
        <w:pStyle w:val="Bullet1"/>
        <w:rPr>
          <w:lang w:eastAsia="en-CA"/>
        </w:rPr>
      </w:pPr>
      <w:r w:rsidRPr="00973494">
        <w:rPr>
          <w:lang w:eastAsia="en-CA"/>
        </w:rPr>
        <w:t>Detailed Submission</w:t>
      </w:r>
      <w:r>
        <w:rPr>
          <w:lang w:eastAsia="en-CA"/>
        </w:rPr>
        <w:t xml:space="preserve"> – comment</w:t>
      </w:r>
      <w:r w:rsidR="00D9054F">
        <w:rPr>
          <w:lang w:eastAsia="en-CA"/>
        </w:rPr>
        <w:t xml:space="preserve">s are </w:t>
      </w:r>
      <w:r>
        <w:rPr>
          <w:lang w:eastAsia="en-CA"/>
        </w:rPr>
        <w:t>excerpt</w:t>
      </w:r>
      <w:r w:rsidR="00D9054F">
        <w:rPr>
          <w:lang w:eastAsia="en-CA"/>
        </w:rPr>
        <w:t>s</w:t>
      </w:r>
      <w:r>
        <w:rPr>
          <w:lang w:eastAsia="en-CA"/>
        </w:rPr>
        <w:t xml:space="preserve"> from detailed submission</w:t>
      </w:r>
      <w:r w:rsidR="00D9054F">
        <w:rPr>
          <w:lang w:eastAsia="en-CA"/>
        </w:rPr>
        <w:t>s</w:t>
      </w:r>
      <w:r>
        <w:rPr>
          <w:lang w:eastAsia="en-CA"/>
        </w:rPr>
        <w:t xml:space="preserve">, usually a text document or pdf. </w:t>
      </w:r>
    </w:p>
    <w:p w:rsidR="002833A5" w:rsidRPr="00973494" w:rsidRDefault="002833A5" w:rsidP="002833A5">
      <w:pPr>
        <w:rPr>
          <w:lang w:eastAsia="en-CA"/>
        </w:rPr>
      </w:pPr>
    </w:p>
    <w:p w:rsidR="00C27488" w:rsidRPr="001E2D08" w:rsidRDefault="00C27488" w:rsidP="00C27488">
      <w:pPr>
        <w:rPr>
          <w:sz w:val="20"/>
          <w:szCs w:val="20"/>
        </w:rPr>
      </w:pPr>
      <w:r w:rsidRPr="001E2D08">
        <w:rPr>
          <w:sz w:val="20"/>
          <w:szCs w:val="20"/>
        </w:rPr>
        <w:t xml:space="preserve">See </w:t>
      </w:r>
      <w:hyperlink r:id="rId10" w:anchor="app2" w:history="1">
        <w:r w:rsidRPr="001E2D08">
          <w:rPr>
            <w:rStyle w:val="Hyperlink"/>
            <w:rFonts w:cs="Arial"/>
            <w:sz w:val="20"/>
            <w:szCs w:val="20"/>
          </w:rPr>
          <w:t>http://open.canada.ca/en/consultations/what-we-heard-summary-report#app2</w:t>
        </w:r>
      </w:hyperlink>
      <w:r w:rsidRPr="001E2D08">
        <w:rPr>
          <w:sz w:val="20"/>
          <w:szCs w:val="20"/>
        </w:rPr>
        <w:t xml:space="preserve"> for more detail on the in-person sessions and samples of the data collection forms.</w:t>
      </w:r>
    </w:p>
    <w:p w:rsidR="00C27488" w:rsidRDefault="00C27488" w:rsidP="00DD320E"/>
    <w:p w:rsidR="0081150E" w:rsidRPr="00AA6B64" w:rsidRDefault="00BE4F45" w:rsidP="00BF4563">
      <w:r w:rsidRPr="00332C2D">
        <w:rPr>
          <w:b/>
        </w:rPr>
        <w:br/>
      </w:r>
      <w:r w:rsidR="0081150E" w:rsidRPr="00AA6B64">
        <w:rPr>
          <w:b/>
        </w:rPr>
        <w:t>Comment, Question or Idea</w:t>
      </w:r>
      <w:r w:rsidR="0081150E" w:rsidRPr="00AA6B64">
        <w:t xml:space="preserve">– this is the main body of </w:t>
      </w:r>
      <w:r w:rsidR="00EC5696">
        <w:t>a</w:t>
      </w:r>
      <w:r w:rsidR="0081150E" w:rsidRPr="00AA6B64">
        <w:t xml:space="preserve"> comment. Some comments that included more than one idea </w:t>
      </w:r>
      <w:r w:rsidR="00EC5696">
        <w:t>were</w:t>
      </w:r>
      <w:r w:rsidR="0081150E" w:rsidRPr="00AA6B64">
        <w:t xml:space="preserve"> broken into separate entries that are connected by the context field. </w:t>
      </w:r>
      <w:r>
        <w:t xml:space="preserve">Text is displayed in the language it was provided. </w:t>
      </w:r>
      <w:r>
        <w:br/>
      </w:r>
      <w:r>
        <w:br/>
      </w:r>
      <w:r w:rsidR="0007488A" w:rsidRPr="00AA6B64">
        <w:t xml:space="preserve">PLEASE NOTE: Some comments are quite lengthy and may exceed the cell </w:t>
      </w:r>
      <w:r w:rsidR="00097691" w:rsidRPr="00AA6B64">
        <w:t>display limit in</w:t>
      </w:r>
      <w:r w:rsidR="0007488A" w:rsidRPr="00AA6B64">
        <w:t xml:space="preserve"> some </w:t>
      </w:r>
      <w:r w:rsidR="00097691" w:rsidRPr="00AA6B64">
        <w:t>programs</w:t>
      </w:r>
      <w:r w:rsidR="00EC5696">
        <w:t xml:space="preserve"> such as Excel 2003.</w:t>
      </w:r>
      <w:r w:rsidR="0007488A" w:rsidRPr="00AA6B64">
        <w:t xml:space="preserve"> </w:t>
      </w:r>
      <w:r w:rsidR="00EC5696">
        <w:t>I</w:t>
      </w:r>
      <w:r w:rsidR="0007488A" w:rsidRPr="00AA6B64">
        <w:t xml:space="preserve">f this occurs, the entire text can usually be viewed in the formula bar which can be expanded by clicking and dragging.   </w:t>
      </w:r>
    </w:p>
    <w:p w:rsidR="00BE4F45" w:rsidRPr="00BE4F45" w:rsidRDefault="00BE4F45" w:rsidP="00BE4F45">
      <w:pPr>
        <w:rPr>
          <w:b/>
        </w:rPr>
      </w:pPr>
      <w:r w:rsidRPr="00BE4F45">
        <w:rPr>
          <w:b/>
        </w:rPr>
        <w:t>Comment, Question or Idea Translation if available</w:t>
      </w:r>
      <w:r>
        <w:rPr>
          <w:b/>
        </w:rPr>
        <w:t xml:space="preserve"> –</w:t>
      </w:r>
      <w:r w:rsidRPr="00BE4F45">
        <w:t xml:space="preserve"> In accordance with the </w:t>
      </w:r>
      <w:r>
        <w:t>o</w:t>
      </w:r>
      <w:r w:rsidRPr="00BE4F45">
        <w:t xml:space="preserve">fficial languages </w:t>
      </w:r>
      <w:r>
        <w:t>statement,</w:t>
      </w:r>
      <w:r>
        <w:rPr>
          <w:b/>
        </w:rPr>
        <w:t xml:space="preserve"> </w:t>
      </w:r>
      <w:r w:rsidRPr="00BE4F45">
        <w:t xml:space="preserve">when </w:t>
      </w:r>
      <w:r>
        <w:t xml:space="preserve">the comment was summarized by an employee of the Government of Canada, it </w:t>
      </w:r>
      <w:r w:rsidR="00EC5696">
        <w:t>was</w:t>
      </w:r>
      <w:r>
        <w:t xml:space="preserve"> translated, when the comment was provided directly by a participant in their own words, it </w:t>
      </w:r>
      <w:r w:rsidR="00EC5696">
        <w:t>was</w:t>
      </w:r>
      <w:r>
        <w:t xml:space="preserve"> not. </w:t>
      </w:r>
    </w:p>
    <w:p w:rsidR="00BE4F45" w:rsidRDefault="00BE4F45" w:rsidP="00BE4F45">
      <w:pPr>
        <w:rPr>
          <w:i/>
        </w:rPr>
      </w:pPr>
    </w:p>
    <w:p w:rsidR="0081150E" w:rsidRDefault="0081150E" w:rsidP="00BF4563">
      <w:pPr>
        <w:rPr>
          <w:i/>
        </w:rPr>
      </w:pPr>
      <w:r w:rsidRPr="00AA6B64">
        <w:rPr>
          <w:i/>
        </w:rPr>
        <w:t>The</w:t>
      </w:r>
      <w:r w:rsidR="00BE4F45">
        <w:rPr>
          <w:i/>
        </w:rPr>
        <w:t xml:space="preserve"> following </w:t>
      </w:r>
      <w:r w:rsidRPr="00AA6B64">
        <w:rPr>
          <w:i/>
        </w:rPr>
        <w:t xml:space="preserve">represent category fields that were added during the </w:t>
      </w:r>
      <w:r w:rsidR="00EC5696" w:rsidRPr="00AA6B64">
        <w:rPr>
          <w:i/>
        </w:rPr>
        <w:t>analysis</w:t>
      </w:r>
      <w:r w:rsidR="00EC5696">
        <w:rPr>
          <w:i/>
        </w:rPr>
        <w:t>;</w:t>
      </w:r>
      <w:r w:rsidR="002833A5">
        <w:rPr>
          <w:i/>
        </w:rPr>
        <w:t xml:space="preserve"> </w:t>
      </w:r>
      <w:r w:rsidR="0067089B" w:rsidRPr="00AA6B64">
        <w:rPr>
          <w:i/>
        </w:rPr>
        <w:t>it is these fields that drive most of the data visualization in the “What We Heard” report</w:t>
      </w:r>
      <w:r w:rsidRPr="00AA6B64">
        <w:rPr>
          <w:i/>
        </w:rPr>
        <w:t xml:space="preserve">: </w:t>
      </w:r>
    </w:p>
    <w:p w:rsidR="00AA6B64" w:rsidRPr="00220A05" w:rsidRDefault="00AA6B64" w:rsidP="00220A05">
      <w:pPr>
        <w:pStyle w:val="Bullet1"/>
        <w:numPr>
          <w:ilvl w:val="0"/>
          <w:numId w:val="0"/>
        </w:numPr>
        <w:ind w:left="768"/>
        <w:rPr>
          <w:lang w:val="en-CA"/>
        </w:rPr>
      </w:pPr>
    </w:p>
    <w:p w:rsidR="0067089B" w:rsidRDefault="00EE1534" w:rsidP="00BF4563">
      <w:r>
        <w:rPr>
          <w:b/>
        </w:rPr>
        <w:t>Primary Commitment</w:t>
      </w:r>
      <w:r w:rsidR="00220A05">
        <w:rPr>
          <w:b/>
        </w:rPr>
        <w:t xml:space="preserve"> and Secondary Commitment</w:t>
      </w:r>
      <w:r w:rsidR="0067089B" w:rsidRPr="00AA6B64">
        <w:t xml:space="preserve">– assigns the comment to </w:t>
      </w:r>
      <w:r w:rsidR="00220A05">
        <w:t xml:space="preserve">the </w:t>
      </w:r>
      <w:r w:rsidR="0067089B" w:rsidRPr="00AA6B64">
        <w:t xml:space="preserve">proposed </w:t>
      </w:r>
      <w:r w:rsidR="00A22B4A">
        <w:t xml:space="preserve">Third Biennial </w:t>
      </w:r>
      <w:r w:rsidR="0067089B" w:rsidRPr="00AA6B64">
        <w:t xml:space="preserve">Plan </w:t>
      </w:r>
      <w:r>
        <w:t>commitment</w:t>
      </w:r>
      <w:r w:rsidR="00220A05">
        <w:t>s</w:t>
      </w:r>
      <w:r w:rsidR="00B5327D">
        <w:t xml:space="preserve"> and other interest areas</w:t>
      </w:r>
      <w:r w:rsidR="00191B2E">
        <w:t>: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 xml:space="preserve">ATI 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Personal Info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Data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Provide and Preserve Access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OG Performance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Government Skills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Service Strategy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Heritage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Spending &amp; Procurement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Budget &amp; Analysis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Grants &amp; Contribution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Corporates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Geospatial Data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Science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ODX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lastRenderedPageBreak/>
        <w:t>Open Data Canada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Extractives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Support Global Transparency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Civil Society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Dialogue &amp; Policy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Promote OG Globally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CRA Services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 xml:space="preserve">General Comment 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Postal Codes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Open Parliament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Whistleblower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Data &amp; Civic Literacy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Open Source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Co-creation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Open Culture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Resources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User Centric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Other - Multilateral Collaboration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Collaboration Issues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Communication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Copyright Waiver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Indigenous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Official Languages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Prioritization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Process &amp; Tools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Quality &amp; Standards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Community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 xml:space="preserve">Alt - Governance &amp; </w:t>
      </w:r>
      <w:r w:rsidR="00C852A5" w:rsidRPr="00DD320E">
        <w:rPr>
          <w:lang w:eastAsia="en-CA"/>
        </w:rPr>
        <w:t>Licen</w:t>
      </w:r>
      <w:r w:rsidR="00C852A5">
        <w:rPr>
          <w:lang w:eastAsia="en-CA"/>
        </w:rPr>
        <w:t>c</w:t>
      </w:r>
      <w:r w:rsidR="00C852A5" w:rsidRPr="00DD320E">
        <w:rPr>
          <w:lang w:eastAsia="en-CA"/>
        </w:rPr>
        <w:t>e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Specific Data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Alt - Youth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NA</w:t>
      </w:r>
    </w:p>
    <w:p w:rsidR="002833A5" w:rsidRPr="00DD320E" w:rsidRDefault="002833A5" w:rsidP="00C852A5">
      <w:pPr>
        <w:pStyle w:val="Bullet1"/>
        <w:numPr>
          <w:ilvl w:val="0"/>
          <w:numId w:val="0"/>
        </w:numPr>
        <w:ind w:left="768"/>
        <w:rPr>
          <w:lang w:eastAsia="en-CA"/>
        </w:rPr>
      </w:pPr>
    </w:p>
    <w:p w:rsidR="002833A5" w:rsidRPr="00DD320E" w:rsidRDefault="002833A5" w:rsidP="002833A5">
      <w:r w:rsidRPr="00DD320E">
        <w:rPr>
          <w:b/>
        </w:rPr>
        <w:t>Primary Theme</w:t>
      </w:r>
      <w:r w:rsidRPr="00DD320E">
        <w:t xml:space="preserve"> – </w:t>
      </w:r>
      <w:r w:rsidR="000848B0">
        <w:t>links the comment to</w:t>
      </w:r>
      <w:r w:rsidRPr="00DD320E">
        <w:t xml:space="preserve"> the themes of the Third Biennial Plan to the Open Government Partnership (2016-2018):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Open by default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Fiscal transparency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Innovation, prosperity &amp; sustainable dev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Engaging Canadians &amp; the world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NA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lastRenderedPageBreak/>
        <w:t xml:space="preserve">General Comment </w:t>
      </w:r>
    </w:p>
    <w:p w:rsidR="002833A5" w:rsidRPr="00DD320E" w:rsidRDefault="002833A5" w:rsidP="002833A5">
      <w:pPr>
        <w:pStyle w:val="Bullet1"/>
        <w:rPr>
          <w:lang w:eastAsia="en-CA"/>
        </w:rPr>
      </w:pPr>
      <w:r w:rsidRPr="00DD320E">
        <w:rPr>
          <w:lang w:eastAsia="en-CA"/>
        </w:rPr>
        <w:t>Not categorized</w:t>
      </w:r>
    </w:p>
    <w:p w:rsidR="002833A5" w:rsidRPr="00DD320E" w:rsidRDefault="002833A5" w:rsidP="00C852A5">
      <w:pPr>
        <w:pStyle w:val="Bullet1"/>
        <w:numPr>
          <w:ilvl w:val="0"/>
          <w:numId w:val="0"/>
        </w:numPr>
        <w:ind w:left="768"/>
        <w:rPr>
          <w:lang w:eastAsia="en-CA"/>
        </w:rPr>
      </w:pPr>
    </w:p>
    <w:p w:rsidR="00EE1534" w:rsidRDefault="00EE1534" w:rsidP="00BF4563"/>
    <w:p w:rsidR="00220A05" w:rsidRDefault="00220A05" w:rsidP="00BF4563">
      <w:pPr>
        <w:rPr>
          <w:b/>
        </w:rPr>
      </w:pPr>
      <w:r>
        <w:rPr>
          <w:b/>
        </w:rPr>
        <w:t xml:space="preserve">What We Heard (WWH) Theme- </w:t>
      </w:r>
      <w:r w:rsidRPr="00AA6B64">
        <w:t>represents the themes that emerged during analysis</w:t>
      </w:r>
      <w:r w:rsidR="002833A5">
        <w:t xml:space="preserve"> and were used to structure the </w:t>
      </w:r>
      <w:r w:rsidR="00C852A5">
        <w:t>“</w:t>
      </w:r>
      <w:r w:rsidR="002833A5">
        <w:t>What We Heard</w:t>
      </w:r>
      <w:r w:rsidR="00C852A5">
        <w:t>”</w:t>
      </w:r>
      <w:r w:rsidR="002833A5">
        <w:t xml:space="preserve"> report</w:t>
      </w:r>
      <w:r>
        <w:t>:</w:t>
      </w:r>
    </w:p>
    <w:p w:rsidR="002833A5" w:rsidRPr="002833A5" w:rsidRDefault="002833A5" w:rsidP="002833A5">
      <w:pPr>
        <w:pStyle w:val="Bullet1"/>
      </w:pPr>
      <w:bookmarkStart w:id="2" w:name="RANGE!B27:B38"/>
      <w:r w:rsidRPr="002833A5">
        <w:t>Open Data</w:t>
      </w:r>
      <w:bookmarkEnd w:id="2"/>
    </w:p>
    <w:p w:rsidR="002833A5" w:rsidRPr="002833A5" w:rsidRDefault="002833A5" w:rsidP="002833A5">
      <w:pPr>
        <w:pStyle w:val="Bullet1"/>
      </w:pPr>
      <w:r w:rsidRPr="002833A5">
        <w:t xml:space="preserve">Open Dialogue &amp; Policy </w:t>
      </w:r>
    </w:p>
    <w:p w:rsidR="002833A5" w:rsidRPr="002833A5" w:rsidRDefault="002833A5" w:rsidP="002833A5">
      <w:pPr>
        <w:pStyle w:val="Bullet1"/>
      </w:pPr>
      <w:r w:rsidRPr="002833A5">
        <w:t>Access &amp; Preservation</w:t>
      </w:r>
    </w:p>
    <w:p w:rsidR="002833A5" w:rsidRPr="002833A5" w:rsidRDefault="002833A5" w:rsidP="002833A5">
      <w:pPr>
        <w:pStyle w:val="Bullet1"/>
      </w:pPr>
      <w:r w:rsidRPr="002833A5">
        <w:t>Open Data Canada</w:t>
      </w:r>
    </w:p>
    <w:p w:rsidR="002833A5" w:rsidRPr="002833A5" w:rsidRDefault="002833A5" w:rsidP="002833A5">
      <w:pPr>
        <w:pStyle w:val="Bullet1"/>
      </w:pPr>
      <w:r w:rsidRPr="002833A5">
        <w:t>Multilateral Collaboration</w:t>
      </w:r>
    </w:p>
    <w:p w:rsidR="002833A5" w:rsidRPr="002833A5" w:rsidRDefault="002833A5" w:rsidP="002833A5">
      <w:pPr>
        <w:pStyle w:val="Bullet1"/>
      </w:pPr>
      <w:r w:rsidRPr="002833A5">
        <w:t>Culture of Openness</w:t>
      </w:r>
    </w:p>
    <w:p w:rsidR="002833A5" w:rsidRPr="002833A5" w:rsidRDefault="002833A5" w:rsidP="002833A5">
      <w:pPr>
        <w:pStyle w:val="Bullet1"/>
      </w:pPr>
      <w:r w:rsidRPr="002833A5">
        <w:t>Open Parliament</w:t>
      </w:r>
    </w:p>
    <w:p w:rsidR="002833A5" w:rsidRPr="002833A5" w:rsidRDefault="002833A5" w:rsidP="002833A5">
      <w:pPr>
        <w:pStyle w:val="Bullet1"/>
      </w:pPr>
      <w:r w:rsidRPr="002833A5">
        <w:t>Data &amp; Civic Literacy</w:t>
      </w:r>
    </w:p>
    <w:p w:rsidR="002833A5" w:rsidRPr="002833A5" w:rsidRDefault="002833A5" w:rsidP="002833A5">
      <w:pPr>
        <w:pStyle w:val="Bullet1"/>
      </w:pPr>
      <w:r w:rsidRPr="002833A5">
        <w:t>Postal Code Data</w:t>
      </w:r>
    </w:p>
    <w:p w:rsidR="002833A5" w:rsidRPr="002833A5" w:rsidRDefault="002833A5" w:rsidP="002833A5">
      <w:pPr>
        <w:pStyle w:val="Bullet1"/>
      </w:pPr>
      <w:r w:rsidRPr="002833A5">
        <w:t>Open Source &amp; Co-creation</w:t>
      </w:r>
    </w:p>
    <w:p w:rsidR="002833A5" w:rsidRPr="002833A5" w:rsidRDefault="002833A5" w:rsidP="002833A5">
      <w:pPr>
        <w:pStyle w:val="Bullet1"/>
      </w:pPr>
      <w:r w:rsidRPr="002833A5">
        <w:t>NA</w:t>
      </w:r>
    </w:p>
    <w:p w:rsidR="002833A5" w:rsidRPr="002833A5" w:rsidRDefault="002833A5" w:rsidP="002833A5">
      <w:pPr>
        <w:pStyle w:val="Bullet1"/>
      </w:pPr>
      <w:r w:rsidRPr="002833A5">
        <w:t>Other</w:t>
      </w:r>
    </w:p>
    <w:p w:rsidR="002833A5" w:rsidRPr="00220A05" w:rsidRDefault="008B5E36" w:rsidP="00220A05">
      <w:pPr>
        <w:rPr>
          <w:b/>
        </w:rPr>
      </w:pPr>
      <w:r>
        <w:rPr>
          <w:b/>
        </w:rPr>
        <w:br/>
      </w:r>
      <w:r w:rsidR="00220A05" w:rsidRPr="00220A05">
        <w:rPr>
          <w:b/>
        </w:rPr>
        <w:t xml:space="preserve">Final Disposition- </w:t>
      </w:r>
      <w:r w:rsidR="00220A05" w:rsidRPr="002833A5">
        <w:t>verifies whether a comment has been covered in an existing commitment, if it should be considered for a future Open Government Plan, or if it could help shape the implementation of a</w:t>
      </w:r>
      <w:r w:rsidR="00A27A56">
        <w:t xml:space="preserve"> specific</w:t>
      </w:r>
      <w:r w:rsidR="00220A05" w:rsidRPr="002833A5">
        <w:t xml:space="preserve"> commitment:</w:t>
      </w:r>
    </w:p>
    <w:p w:rsidR="002833A5" w:rsidRPr="002833A5" w:rsidRDefault="002833A5" w:rsidP="002833A5">
      <w:pPr>
        <w:pStyle w:val="Bullet1"/>
      </w:pPr>
      <w:r w:rsidRPr="002833A5">
        <w:t>Yes</w:t>
      </w:r>
    </w:p>
    <w:p w:rsidR="002833A5" w:rsidRPr="002833A5" w:rsidRDefault="002833A5" w:rsidP="002833A5">
      <w:pPr>
        <w:pStyle w:val="Bullet1"/>
      </w:pPr>
      <w:r w:rsidRPr="002833A5">
        <w:t>Partial</w:t>
      </w:r>
    </w:p>
    <w:p w:rsidR="002833A5" w:rsidRPr="002833A5" w:rsidRDefault="002833A5" w:rsidP="002833A5">
      <w:pPr>
        <w:pStyle w:val="Bullet1"/>
      </w:pPr>
      <w:r w:rsidRPr="002833A5">
        <w:t>No</w:t>
      </w:r>
    </w:p>
    <w:p w:rsidR="002833A5" w:rsidRPr="002833A5" w:rsidRDefault="002833A5" w:rsidP="002833A5">
      <w:pPr>
        <w:pStyle w:val="Bullet1"/>
      </w:pPr>
      <w:r w:rsidRPr="002833A5">
        <w:t>Future Consideration</w:t>
      </w:r>
    </w:p>
    <w:p w:rsidR="002833A5" w:rsidRPr="002833A5" w:rsidRDefault="002833A5" w:rsidP="002833A5">
      <w:pPr>
        <w:pStyle w:val="Bullet1"/>
      </w:pPr>
      <w:r w:rsidRPr="002833A5">
        <w:t>Implementation Guidance</w:t>
      </w:r>
    </w:p>
    <w:p w:rsidR="002833A5" w:rsidRPr="002833A5" w:rsidRDefault="002833A5" w:rsidP="002833A5">
      <w:pPr>
        <w:pStyle w:val="Bullet1"/>
      </w:pPr>
      <w:r w:rsidRPr="002833A5">
        <w:t>NA</w:t>
      </w:r>
    </w:p>
    <w:p w:rsidR="0067089B" w:rsidRPr="00220A05" w:rsidRDefault="0067089B" w:rsidP="00220A05">
      <w:pPr>
        <w:rPr>
          <w:b/>
        </w:rPr>
      </w:pPr>
    </w:p>
    <w:p w:rsidR="00F71227" w:rsidRDefault="00F71227">
      <w:pPr>
        <w:spacing w:after="200" w:line="276" w:lineRule="auto"/>
        <w:ind w:right="0"/>
        <w:rPr>
          <w:b/>
          <w:caps/>
        </w:rPr>
      </w:pPr>
      <w:r>
        <w:br w:type="page"/>
      </w:r>
    </w:p>
    <w:p w:rsidR="00A46600" w:rsidRPr="00AA6B64" w:rsidRDefault="00862A5A" w:rsidP="008B5E36">
      <w:pPr>
        <w:pStyle w:val="Heading1"/>
      </w:pPr>
      <w:r>
        <w:lastRenderedPageBreak/>
        <w:t xml:space="preserve">INDIVIDUAL </w:t>
      </w:r>
      <w:r w:rsidR="00A832BC">
        <w:t xml:space="preserve">COMMENTS </w:t>
      </w:r>
      <w:r w:rsidR="00281C29">
        <w:t xml:space="preserve">—Open Government Action Plan </w:t>
      </w:r>
      <w:r w:rsidR="00A832BC">
        <w:t>CONSULTATION</w:t>
      </w:r>
      <w:r w:rsidR="00BE2DA1">
        <w:t xml:space="preserve"> Data</w:t>
      </w:r>
      <w:r w:rsidR="00DE3C67">
        <w:t xml:space="preserve"> (2016)</w:t>
      </w:r>
    </w:p>
    <w:p w:rsidR="00C24A0A" w:rsidRDefault="00C24A0A" w:rsidP="00C24A0A">
      <w:pPr>
        <w:pStyle w:val="Heading2"/>
      </w:pPr>
      <w:r>
        <w:t>Description</w:t>
      </w:r>
      <w:r w:rsidR="00885A7F">
        <w:t>:</w:t>
      </w:r>
    </w:p>
    <w:p w:rsidR="00A832BC" w:rsidRDefault="00A832BC" w:rsidP="00BF4563">
      <w:r>
        <w:t xml:space="preserve">All comment </w:t>
      </w:r>
      <w:r w:rsidR="00A46600" w:rsidRPr="00AA6B64">
        <w:t>data collected from Individual Worksheets that participants completed as part of the in-person sessions.</w:t>
      </w:r>
      <w:r>
        <w:t xml:space="preserve"> This data is presented in the language in which it was provided by participants. </w:t>
      </w:r>
      <w:r w:rsidR="00A46600" w:rsidRPr="00AA6B64">
        <w:t xml:space="preserve"> </w:t>
      </w:r>
    </w:p>
    <w:p w:rsidR="00D87C28" w:rsidRPr="00C24A0A" w:rsidRDefault="00A46600" w:rsidP="00BF4563">
      <w:pPr>
        <w:rPr>
          <w:i/>
        </w:rPr>
      </w:pPr>
      <w:r w:rsidRPr="00C24A0A">
        <w:rPr>
          <w:i/>
        </w:rPr>
        <w:t xml:space="preserve">A sample of the worksheet can be found in the appendices of the “What We Heard” report.  A subset of this data (the Public Engagement Question and 1 Practical Idea) is included in the </w:t>
      </w:r>
      <w:r w:rsidR="00D2384A">
        <w:rPr>
          <w:i/>
        </w:rPr>
        <w:t>“</w:t>
      </w:r>
      <w:r w:rsidR="00A406D9" w:rsidRPr="00C24A0A">
        <w:rPr>
          <w:i/>
        </w:rPr>
        <w:t>Compilation</w:t>
      </w:r>
      <w:r w:rsidR="00D2384A">
        <w:rPr>
          <w:i/>
        </w:rPr>
        <w:t>”</w:t>
      </w:r>
      <w:r w:rsidR="00A406D9" w:rsidRPr="00C24A0A">
        <w:rPr>
          <w:i/>
        </w:rPr>
        <w:t xml:space="preserve"> dataset. </w:t>
      </w:r>
      <w:r w:rsidRPr="00C24A0A">
        <w:rPr>
          <w:i/>
        </w:rPr>
        <w:t xml:space="preserve">  </w:t>
      </w:r>
    </w:p>
    <w:p w:rsidR="005A08F6" w:rsidRPr="00AA6B64" w:rsidRDefault="005A08F6" w:rsidP="00BF4563"/>
    <w:p w:rsidR="00CB65AD" w:rsidRPr="00AA6B64" w:rsidRDefault="00CB65AD" w:rsidP="008B5E36">
      <w:pPr>
        <w:pStyle w:val="Heading2"/>
      </w:pPr>
      <w:r w:rsidRPr="00AA6B64">
        <w:t>Field Descriptions:</w:t>
      </w:r>
    </w:p>
    <w:p w:rsidR="005A08F6" w:rsidRPr="00AA6B64" w:rsidRDefault="005A08F6" w:rsidP="00BF4563">
      <w:r w:rsidRPr="008B5E36">
        <w:rPr>
          <w:b/>
        </w:rPr>
        <w:t>Row</w:t>
      </w:r>
      <w:r w:rsidRPr="00AA6B64">
        <w:t xml:space="preserve"> – is a unique </w:t>
      </w:r>
      <w:r w:rsidR="008B5E36">
        <w:t xml:space="preserve">numerical </w:t>
      </w:r>
      <w:r w:rsidRPr="00AA6B64">
        <w:t>identifier</w:t>
      </w:r>
    </w:p>
    <w:p w:rsidR="005A08F6" w:rsidRDefault="005A08F6" w:rsidP="00BF4563">
      <w:r w:rsidRPr="008B5E36">
        <w:rPr>
          <w:b/>
        </w:rPr>
        <w:t>Event</w:t>
      </w:r>
      <w:r w:rsidRPr="00AA6B64">
        <w:t xml:space="preserve"> – represents the event at which the Individual Feedback form was collected</w:t>
      </w:r>
      <w:r w:rsidR="00191B2E">
        <w:t>:</w:t>
      </w:r>
    </w:p>
    <w:p w:rsidR="008B5E36" w:rsidRPr="002833A5" w:rsidRDefault="008B5E36" w:rsidP="002833A5">
      <w:pPr>
        <w:pStyle w:val="Bullet1"/>
      </w:pPr>
      <w:r w:rsidRPr="002833A5">
        <w:t>ARMA</w:t>
      </w:r>
    </w:p>
    <w:p w:rsidR="00A22B4A" w:rsidRPr="002833A5" w:rsidRDefault="00A22B4A" w:rsidP="002833A5">
      <w:pPr>
        <w:pStyle w:val="Bullet1"/>
      </w:pPr>
      <w:r w:rsidRPr="002833A5">
        <w:t>Edmonton</w:t>
      </w:r>
    </w:p>
    <w:p w:rsidR="00A22B4A" w:rsidRPr="002833A5" w:rsidRDefault="00A22B4A" w:rsidP="002833A5">
      <w:pPr>
        <w:pStyle w:val="Bullet1"/>
      </w:pPr>
      <w:r w:rsidRPr="002833A5">
        <w:t>Montreal</w:t>
      </w:r>
    </w:p>
    <w:p w:rsidR="00A22B4A" w:rsidRPr="002833A5" w:rsidRDefault="00A22B4A" w:rsidP="002833A5">
      <w:pPr>
        <w:pStyle w:val="Bullet1"/>
      </w:pPr>
      <w:r w:rsidRPr="002833A5">
        <w:t>Ottawa</w:t>
      </w:r>
    </w:p>
    <w:p w:rsidR="00A22B4A" w:rsidRPr="002833A5" w:rsidRDefault="00A22B4A" w:rsidP="002833A5">
      <w:pPr>
        <w:pStyle w:val="Bullet1"/>
      </w:pPr>
      <w:r w:rsidRPr="002833A5">
        <w:t>Toronto</w:t>
      </w:r>
    </w:p>
    <w:p w:rsidR="00A22B4A" w:rsidRPr="002833A5" w:rsidRDefault="00A22B4A" w:rsidP="002833A5">
      <w:pPr>
        <w:pStyle w:val="Bullet1"/>
      </w:pPr>
      <w:r w:rsidRPr="002833A5">
        <w:t>Victoria</w:t>
      </w:r>
    </w:p>
    <w:p w:rsidR="00A22B4A" w:rsidRPr="002833A5" w:rsidRDefault="009D10B6" w:rsidP="002833A5">
      <w:pPr>
        <w:pStyle w:val="Bullet1"/>
      </w:pPr>
      <w:r w:rsidRPr="002833A5">
        <w:t>Whitehorse</w:t>
      </w:r>
      <w:r w:rsidR="00A22B4A" w:rsidRPr="002833A5">
        <w:t xml:space="preserve"> </w:t>
      </w:r>
    </w:p>
    <w:p w:rsidR="00A27A56" w:rsidRPr="00C27488" w:rsidRDefault="00A27A56" w:rsidP="00BF4563">
      <w:pPr>
        <w:rPr>
          <w:b/>
        </w:rPr>
      </w:pPr>
    </w:p>
    <w:p w:rsidR="00A16C1A" w:rsidRPr="00C27488" w:rsidRDefault="005A08F6" w:rsidP="00BF4563">
      <w:r w:rsidRPr="00C27488">
        <w:rPr>
          <w:b/>
        </w:rPr>
        <w:t>Source</w:t>
      </w:r>
      <w:r w:rsidRPr="00C27488">
        <w:t xml:space="preserve"> –</w:t>
      </w:r>
      <w:r w:rsidR="00A16C1A" w:rsidRPr="00C27488">
        <w:t>identifies the source of the comment:</w:t>
      </w:r>
    </w:p>
    <w:p w:rsidR="00A27A56" w:rsidRPr="00C27488" w:rsidRDefault="00C27488" w:rsidP="00C27488">
      <w:pPr>
        <w:pStyle w:val="ListParagraph"/>
        <w:numPr>
          <w:ilvl w:val="0"/>
          <w:numId w:val="12"/>
        </w:numPr>
      </w:pPr>
      <w:r w:rsidRPr="00C27488">
        <w:t>Indv Comment</w:t>
      </w:r>
    </w:p>
    <w:p w:rsidR="005A08F6" w:rsidRPr="00C27488" w:rsidRDefault="005A08F6" w:rsidP="00BF4563">
      <w:r w:rsidRPr="00C27488">
        <w:rPr>
          <w:b/>
        </w:rPr>
        <w:t>Sector</w:t>
      </w:r>
      <w:r w:rsidRPr="00C27488">
        <w:t xml:space="preserve"> – The sector the participant </w:t>
      </w:r>
      <w:r w:rsidR="00191B2E" w:rsidRPr="00C27488">
        <w:t>self-</w:t>
      </w:r>
      <w:r w:rsidRPr="00C27488">
        <w:t>identified with</w:t>
      </w:r>
      <w:r w:rsidR="00191B2E" w:rsidRPr="00C27488">
        <w:t>:</w:t>
      </w:r>
    </w:p>
    <w:p w:rsidR="002833A5" w:rsidRPr="002833A5" w:rsidRDefault="002833A5" w:rsidP="002833A5">
      <w:pPr>
        <w:pStyle w:val="Bullet1"/>
      </w:pPr>
      <w:bookmarkStart w:id="3" w:name="RANGE!B4:B14"/>
      <w:r w:rsidRPr="002833A5">
        <w:t>Academia</w:t>
      </w:r>
      <w:bookmarkEnd w:id="3"/>
    </w:p>
    <w:p w:rsidR="002833A5" w:rsidRPr="002833A5" w:rsidRDefault="002833A5" w:rsidP="002833A5">
      <w:pPr>
        <w:pStyle w:val="Bullet1"/>
      </w:pPr>
      <w:r w:rsidRPr="002833A5">
        <w:t>Business</w:t>
      </w:r>
    </w:p>
    <w:p w:rsidR="002833A5" w:rsidRPr="002833A5" w:rsidRDefault="002833A5" w:rsidP="002833A5">
      <w:pPr>
        <w:pStyle w:val="Bullet1"/>
      </w:pPr>
      <w:r w:rsidRPr="002833A5">
        <w:t>Media</w:t>
      </w:r>
    </w:p>
    <w:p w:rsidR="002833A5" w:rsidRPr="002833A5" w:rsidRDefault="002833A5" w:rsidP="002833A5">
      <w:pPr>
        <w:pStyle w:val="Bullet1"/>
      </w:pPr>
      <w:r w:rsidRPr="002833A5">
        <w:t>Non-profit</w:t>
      </w:r>
    </w:p>
    <w:p w:rsidR="002833A5" w:rsidRPr="002833A5" w:rsidRDefault="002833A5" w:rsidP="002833A5">
      <w:pPr>
        <w:pStyle w:val="Bullet1"/>
      </w:pPr>
      <w:r w:rsidRPr="002833A5">
        <w:t>FedGov</w:t>
      </w:r>
    </w:p>
    <w:p w:rsidR="002833A5" w:rsidRPr="002833A5" w:rsidRDefault="002833A5" w:rsidP="002833A5">
      <w:pPr>
        <w:pStyle w:val="Bullet1"/>
      </w:pPr>
      <w:r w:rsidRPr="002833A5">
        <w:t>PTGov</w:t>
      </w:r>
    </w:p>
    <w:p w:rsidR="002833A5" w:rsidRPr="002833A5" w:rsidRDefault="002833A5" w:rsidP="002833A5">
      <w:pPr>
        <w:pStyle w:val="Bullet1"/>
      </w:pPr>
      <w:r w:rsidRPr="002833A5">
        <w:t>MunGov</w:t>
      </w:r>
    </w:p>
    <w:p w:rsidR="002833A5" w:rsidRPr="002833A5" w:rsidRDefault="002833A5" w:rsidP="002833A5">
      <w:pPr>
        <w:pStyle w:val="Bullet1"/>
      </w:pPr>
      <w:r w:rsidRPr="002833A5">
        <w:t>Individual</w:t>
      </w:r>
    </w:p>
    <w:p w:rsidR="002833A5" w:rsidRPr="002833A5" w:rsidRDefault="002833A5" w:rsidP="002833A5">
      <w:pPr>
        <w:pStyle w:val="Bullet1"/>
      </w:pPr>
      <w:r w:rsidRPr="002833A5">
        <w:t>Student</w:t>
      </w:r>
    </w:p>
    <w:p w:rsidR="002833A5" w:rsidRPr="002833A5" w:rsidRDefault="002833A5" w:rsidP="002833A5">
      <w:pPr>
        <w:pStyle w:val="Bullet1"/>
      </w:pPr>
      <w:r w:rsidRPr="002833A5">
        <w:t>Other</w:t>
      </w:r>
    </w:p>
    <w:p w:rsidR="002833A5" w:rsidRPr="002833A5" w:rsidRDefault="002833A5" w:rsidP="002833A5">
      <w:pPr>
        <w:pStyle w:val="Bullet1"/>
      </w:pPr>
      <w:r w:rsidRPr="002833A5">
        <w:t>NA</w:t>
      </w:r>
    </w:p>
    <w:p w:rsidR="00DD320E" w:rsidRPr="00DD320E" w:rsidRDefault="00DD320E" w:rsidP="00DD320E">
      <w:pPr>
        <w:rPr>
          <w:b/>
        </w:rPr>
      </w:pPr>
    </w:p>
    <w:p w:rsidR="00DD320E" w:rsidRPr="00DD320E" w:rsidRDefault="00DD320E" w:rsidP="00BF4563">
      <w:r w:rsidRPr="00DD320E">
        <w:rPr>
          <w:b/>
        </w:rPr>
        <w:lastRenderedPageBreak/>
        <w:t xml:space="preserve">Public engagement question (also in </w:t>
      </w:r>
      <w:r w:rsidR="00D2384A">
        <w:rPr>
          <w:b/>
        </w:rPr>
        <w:t>“</w:t>
      </w:r>
      <w:r w:rsidRPr="00DD320E">
        <w:rPr>
          <w:b/>
        </w:rPr>
        <w:t>Compilation</w:t>
      </w:r>
      <w:r w:rsidR="00D2384A">
        <w:rPr>
          <w:b/>
        </w:rPr>
        <w:t>”</w:t>
      </w:r>
      <w:r w:rsidRPr="00DD320E">
        <w:rPr>
          <w:b/>
        </w:rPr>
        <w:t>)–</w:t>
      </w:r>
      <w:r w:rsidRPr="00DD320E">
        <w:t xml:space="preserve"> </w:t>
      </w:r>
      <w:r w:rsidRPr="009D10B6">
        <w:t xml:space="preserve">participant’s answer to the question; “One question I would like to see explored in public engagement sessions on Open Government is:”  </w:t>
      </w:r>
    </w:p>
    <w:p w:rsidR="005A08F6" w:rsidRDefault="005A08F6" w:rsidP="00BF4563">
      <w:r w:rsidRPr="009D10B6">
        <w:rPr>
          <w:b/>
        </w:rPr>
        <w:t>1 Practical idea</w:t>
      </w:r>
      <w:r w:rsidR="00DD320E">
        <w:rPr>
          <w:b/>
        </w:rPr>
        <w:t xml:space="preserve"> (also in </w:t>
      </w:r>
      <w:r w:rsidR="00D2384A">
        <w:rPr>
          <w:b/>
        </w:rPr>
        <w:t>“</w:t>
      </w:r>
      <w:r w:rsidR="00DD320E">
        <w:rPr>
          <w:b/>
        </w:rPr>
        <w:t>Compilation</w:t>
      </w:r>
      <w:r w:rsidR="00D2384A">
        <w:rPr>
          <w:b/>
        </w:rPr>
        <w:t>”</w:t>
      </w:r>
      <w:r w:rsidR="00DD320E">
        <w:rPr>
          <w:b/>
        </w:rPr>
        <w:t>)</w:t>
      </w:r>
      <w:r w:rsidRPr="009D10B6">
        <w:t xml:space="preserve"> – participant</w:t>
      </w:r>
      <w:r w:rsidR="00F575E5" w:rsidRPr="009D10B6">
        <w:t>’</w:t>
      </w:r>
      <w:r w:rsidRPr="009D10B6">
        <w:t xml:space="preserve">s answer to the question; “One practical idea about how to make government more open might be:” </w:t>
      </w:r>
    </w:p>
    <w:p w:rsidR="00DD320E" w:rsidRPr="009D10B6" w:rsidRDefault="00DD320E" w:rsidP="00DD320E">
      <w:r w:rsidRPr="009D10B6">
        <w:rPr>
          <w:b/>
        </w:rPr>
        <w:t>3 words</w:t>
      </w:r>
      <w:r w:rsidRPr="009D10B6">
        <w:t xml:space="preserve"> – Three words that describe why the participant was attending the event</w:t>
      </w:r>
    </w:p>
    <w:p w:rsidR="00DD320E" w:rsidRPr="00DD320E" w:rsidRDefault="00DD320E" w:rsidP="00BF4563">
      <w:r w:rsidRPr="009D10B6">
        <w:rPr>
          <w:b/>
        </w:rPr>
        <w:t>OG is important because</w:t>
      </w:r>
      <w:r w:rsidRPr="009D10B6">
        <w:t xml:space="preserve"> – participant’s answer to the question, “Open Government is important to me because:”</w:t>
      </w:r>
    </w:p>
    <w:p w:rsidR="005A08F6" w:rsidRPr="002833A5" w:rsidRDefault="005A08F6" w:rsidP="00BF4563">
      <w:r w:rsidRPr="009D10B6">
        <w:rPr>
          <w:b/>
        </w:rPr>
        <w:t>Preferred way(s) to participate in OG</w:t>
      </w:r>
      <w:r w:rsidRPr="009D10B6">
        <w:t xml:space="preserve"> </w:t>
      </w:r>
      <w:r w:rsidR="00F575E5" w:rsidRPr="009D10B6">
        <w:t>–</w:t>
      </w:r>
      <w:r w:rsidRPr="009D10B6">
        <w:t xml:space="preserve"> participant</w:t>
      </w:r>
      <w:r w:rsidR="00F575E5" w:rsidRPr="009D10B6">
        <w:t>’</w:t>
      </w:r>
      <w:r w:rsidRPr="009D10B6">
        <w:t>s answer to the question; “Ways I would like to participate in the Open Government initiative in the future is/ar</w:t>
      </w:r>
      <w:r w:rsidRPr="002833A5">
        <w:t xml:space="preserve">e: </w:t>
      </w:r>
    </w:p>
    <w:p w:rsidR="002833A5" w:rsidRPr="002833A5" w:rsidRDefault="005A08F6" w:rsidP="005A08F6">
      <w:pPr>
        <w:ind w:left="720"/>
      </w:pPr>
      <w:r w:rsidRPr="002833A5">
        <w:t>1-On</w:t>
      </w:r>
      <w:r w:rsidR="008E3B42" w:rsidRPr="002833A5">
        <w:t>-</w:t>
      </w:r>
      <w:r w:rsidRPr="002833A5">
        <w:t xml:space="preserve">line forums </w:t>
      </w:r>
    </w:p>
    <w:p w:rsidR="005A08F6" w:rsidRPr="002833A5" w:rsidRDefault="005A08F6" w:rsidP="005A08F6">
      <w:pPr>
        <w:ind w:left="720"/>
      </w:pPr>
      <w:r w:rsidRPr="002833A5">
        <w:t xml:space="preserve">2- </w:t>
      </w:r>
      <w:r w:rsidR="009D10B6" w:rsidRPr="002833A5">
        <w:t>Online surveys</w:t>
      </w:r>
    </w:p>
    <w:p w:rsidR="005A08F6" w:rsidRPr="002833A5" w:rsidRDefault="005A08F6" w:rsidP="005A08F6">
      <w:pPr>
        <w:ind w:left="720"/>
      </w:pPr>
      <w:r w:rsidRPr="002833A5">
        <w:t>3-</w:t>
      </w:r>
      <w:r w:rsidR="009D10B6" w:rsidRPr="002833A5">
        <w:t>Social media</w:t>
      </w:r>
    </w:p>
    <w:p w:rsidR="005A08F6" w:rsidRPr="002833A5" w:rsidRDefault="005A08F6" w:rsidP="005A08F6">
      <w:pPr>
        <w:ind w:left="720"/>
      </w:pPr>
      <w:r w:rsidRPr="002833A5">
        <w:t>4-</w:t>
      </w:r>
      <w:r w:rsidR="009D10B6" w:rsidRPr="002833A5">
        <w:t>In-person workshops on particular topics</w:t>
      </w:r>
    </w:p>
    <w:p w:rsidR="005A08F6" w:rsidRPr="002833A5" w:rsidRDefault="005A08F6" w:rsidP="005A08F6">
      <w:pPr>
        <w:ind w:left="720"/>
      </w:pPr>
      <w:r w:rsidRPr="002833A5">
        <w:t>5-</w:t>
      </w:r>
      <w:r w:rsidR="009D10B6" w:rsidRPr="002833A5">
        <w:t>Open public meetings</w:t>
      </w:r>
    </w:p>
    <w:p w:rsidR="005A08F6" w:rsidRPr="002833A5" w:rsidRDefault="005A08F6" w:rsidP="005A08F6">
      <w:pPr>
        <w:ind w:left="720"/>
      </w:pPr>
      <w:r w:rsidRPr="002833A5">
        <w:t>6-</w:t>
      </w:r>
      <w:r w:rsidR="009D10B6" w:rsidRPr="002833A5">
        <w:t>Commenting on documents online or by email</w:t>
      </w:r>
    </w:p>
    <w:p w:rsidR="005A08F6" w:rsidRPr="00AA6B64" w:rsidRDefault="005A08F6" w:rsidP="005A08F6">
      <w:pPr>
        <w:ind w:left="720"/>
      </w:pPr>
      <w:r w:rsidRPr="002833A5">
        <w:t>7-Other</w:t>
      </w:r>
    </w:p>
    <w:p w:rsidR="005A08F6" w:rsidRPr="00AA6B64" w:rsidRDefault="00F575E5" w:rsidP="00F575E5">
      <w:r w:rsidRPr="008B5E36">
        <w:rPr>
          <w:b/>
        </w:rPr>
        <w:t>What did you like most</w:t>
      </w:r>
      <w:r w:rsidRPr="00AA6B64">
        <w:t xml:space="preserve"> – participant’s answer to the question; “What did you like most about the session?”</w:t>
      </w:r>
    </w:p>
    <w:p w:rsidR="00F575E5" w:rsidRPr="00AA6B64" w:rsidRDefault="00F575E5" w:rsidP="00F575E5">
      <w:r w:rsidRPr="008B5E36">
        <w:rPr>
          <w:b/>
        </w:rPr>
        <w:t>Dislike</w:t>
      </w:r>
      <w:r w:rsidRPr="00AA6B64">
        <w:t xml:space="preserve"> – participant’s answer to the question; “What did you dislike most about the session?”</w:t>
      </w:r>
    </w:p>
    <w:p w:rsidR="00F575E5" w:rsidRPr="00AA6B64" w:rsidRDefault="00F575E5" w:rsidP="00F575E5">
      <w:r w:rsidRPr="008B5E36">
        <w:rPr>
          <w:b/>
        </w:rPr>
        <w:t xml:space="preserve">Improvements </w:t>
      </w:r>
      <w:r w:rsidR="00D2384A" w:rsidRPr="00D2384A">
        <w:t>–</w:t>
      </w:r>
      <w:r w:rsidR="00D2384A">
        <w:rPr>
          <w:b/>
        </w:rPr>
        <w:t xml:space="preserve"> </w:t>
      </w:r>
      <w:r w:rsidRPr="00AA6B64">
        <w:t>participant’s answer to the question; “How can we improve the Open Government consultation experience</w:t>
      </w:r>
      <w:r w:rsidR="00D2384A">
        <w:t>?</w:t>
      </w:r>
      <w:r w:rsidRPr="00AA6B64">
        <w:t>”</w:t>
      </w:r>
    </w:p>
    <w:p w:rsidR="00F575E5" w:rsidRPr="00AA6B64" w:rsidRDefault="00F575E5" w:rsidP="00F575E5">
      <w:r w:rsidRPr="008B5E36">
        <w:rPr>
          <w:b/>
        </w:rPr>
        <w:t>Would you recommend</w:t>
      </w:r>
      <w:r w:rsidRPr="00AA6B64">
        <w:t xml:space="preserve"> </w:t>
      </w:r>
      <w:r w:rsidR="00D2384A">
        <w:t xml:space="preserve">– </w:t>
      </w:r>
      <w:r w:rsidRPr="00AA6B64">
        <w:t xml:space="preserve">participant’s answer to the question; “Overall, would you recommend a colleague to participate in this consultation session” 1 = Not at all, 10 = </w:t>
      </w:r>
      <w:r w:rsidR="009172A7" w:rsidRPr="00AA6B64">
        <w:t>definitely</w:t>
      </w:r>
    </w:p>
    <w:p w:rsidR="00F575E5" w:rsidRPr="00AA6B64" w:rsidRDefault="00F575E5" w:rsidP="00F575E5">
      <w:r w:rsidRPr="008B5E36">
        <w:rPr>
          <w:b/>
        </w:rPr>
        <w:t>Other Comments</w:t>
      </w:r>
      <w:r w:rsidRPr="00AA6B64">
        <w:t xml:space="preserve"> – </w:t>
      </w:r>
      <w:r w:rsidR="009172A7" w:rsidRPr="00AA6B64">
        <w:t>participant’s</w:t>
      </w:r>
      <w:r w:rsidRPr="00AA6B64">
        <w:t xml:space="preserve"> general comments</w:t>
      </w:r>
    </w:p>
    <w:p w:rsidR="00F575E5" w:rsidRPr="00AA6B64" w:rsidRDefault="00F575E5" w:rsidP="00F575E5"/>
    <w:p w:rsidR="00577761" w:rsidRPr="00AA6B64" w:rsidRDefault="00577761" w:rsidP="00577761">
      <w:pPr>
        <w:pStyle w:val="Heading1"/>
      </w:pPr>
      <w:r w:rsidRPr="00AA6B64">
        <w:t xml:space="preserve">Abbreviations: </w:t>
      </w:r>
    </w:p>
    <w:p w:rsidR="00577761" w:rsidRDefault="00577761" w:rsidP="00577761">
      <w:r>
        <w:t>AP – Action Plan</w:t>
      </w:r>
    </w:p>
    <w:p w:rsidR="00577761" w:rsidRPr="00DD320E" w:rsidRDefault="00577761" w:rsidP="00577761">
      <w:r w:rsidRPr="00DD320E">
        <w:t>APIs - Application Programing Interfaces</w:t>
      </w:r>
    </w:p>
    <w:p w:rsidR="00577761" w:rsidRDefault="00577761" w:rsidP="00577761">
      <w:r w:rsidRPr="00DD320E">
        <w:t>ARMA – American Records Management Association</w:t>
      </w:r>
    </w:p>
    <w:p w:rsidR="00577761" w:rsidRPr="00DD320E" w:rsidRDefault="00577761" w:rsidP="00577761">
      <w:r>
        <w:t>ATI – Access to Information</w:t>
      </w:r>
    </w:p>
    <w:p w:rsidR="00577761" w:rsidRPr="00DD320E" w:rsidRDefault="00577761" w:rsidP="00577761">
      <w:r w:rsidRPr="00DD320E">
        <w:t>Biz - Business</w:t>
      </w:r>
    </w:p>
    <w:p w:rsidR="00577761" w:rsidRPr="00DD320E" w:rsidRDefault="00577761" w:rsidP="00577761">
      <w:r w:rsidRPr="00DD320E">
        <w:t>CAJ- Canadian Association of Journalists</w:t>
      </w:r>
    </w:p>
    <w:p w:rsidR="00577761" w:rsidRPr="00DD320E" w:rsidRDefault="00577761" w:rsidP="00577761">
      <w:r w:rsidRPr="00DD320E">
        <w:t xml:space="preserve">C/NP – Community/Non-profit </w:t>
      </w:r>
    </w:p>
    <w:p w:rsidR="00577761" w:rsidRPr="00DD320E" w:rsidRDefault="00577761" w:rsidP="00577761">
      <w:r w:rsidRPr="00DD320E">
        <w:t>CoP – Community of Practice</w:t>
      </w:r>
    </w:p>
    <w:p w:rsidR="00577761" w:rsidRPr="00DD320E" w:rsidRDefault="00577761" w:rsidP="00577761">
      <w:r w:rsidRPr="00DD320E">
        <w:lastRenderedPageBreak/>
        <w:t xml:space="preserve">CJFE- Canadian Journalists for Free Expression </w:t>
      </w:r>
    </w:p>
    <w:p w:rsidR="00577761" w:rsidRPr="00DD320E" w:rsidRDefault="00577761" w:rsidP="00577761">
      <w:r w:rsidRPr="00DD320E">
        <w:t>CSO – Civil Society Organization</w:t>
      </w:r>
    </w:p>
    <w:p w:rsidR="00577761" w:rsidRDefault="00577761" w:rsidP="00577761">
      <w:r w:rsidRPr="00DD320E">
        <w:t>CODE – Canadian Open Data Experience</w:t>
      </w:r>
    </w:p>
    <w:p w:rsidR="00577761" w:rsidRPr="00DD320E" w:rsidRDefault="00577761" w:rsidP="00577761">
      <w:r>
        <w:t>DP – Draft Plan</w:t>
      </w:r>
    </w:p>
    <w:p w:rsidR="00577761" w:rsidRDefault="00577761" w:rsidP="00577761">
      <w:r>
        <w:t>ESTMA</w:t>
      </w:r>
      <w:r w:rsidR="000F7F14">
        <w:t xml:space="preserve"> – E</w:t>
      </w:r>
      <w:r>
        <w:t>xtractives Sector Transparency Measures Act</w:t>
      </w:r>
    </w:p>
    <w:p w:rsidR="00577761" w:rsidRDefault="00577761" w:rsidP="00577761">
      <w:r w:rsidRPr="00DD320E">
        <w:t>Fed – Federal</w:t>
      </w:r>
    </w:p>
    <w:p w:rsidR="00577761" w:rsidRPr="00DD320E" w:rsidRDefault="00577761" w:rsidP="00577761">
      <w:r>
        <w:t>FedGov- Federal Government</w:t>
      </w:r>
    </w:p>
    <w:p w:rsidR="00577761" w:rsidRPr="00DD320E" w:rsidRDefault="00577761" w:rsidP="00577761">
      <w:r w:rsidRPr="00DD320E">
        <w:t>Gen – General</w:t>
      </w:r>
    </w:p>
    <w:p w:rsidR="00577761" w:rsidRPr="00DD320E" w:rsidRDefault="00577761" w:rsidP="00577761">
      <w:r w:rsidRPr="00DD320E">
        <w:t>GoC – Government of Canada</w:t>
      </w:r>
    </w:p>
    <w:p w:rsidR="00577761" w:rsidRPr="00DD320E" w:rsidRDefault="00577761" w:rsidP="00577761">
      <w:r w:rsidRPr="00DD320E">
        <w:t>IATI – International Aid Transparency Initiative</w:t>
      </w:r>
    </w:p>
    <w:p w:rsidR="00577761" w:rsidRPr="00AC4200" w:rsidRDefault="00577761" w:rsidP="00577761">
      <w:pPr>
        <w:rPr>
          <w:lang w:val="fr-CA"/>
        </w:rPr>
      </w:pPr>
      <w:r w:rsidRPr="00AC4200">
        <w:rPr>
          <w:lang w:val="fr-CA"/>
        </w:rPr>
        <w:t xml:space="preserve">ID – Idea Dialogue </w:t>
      </w:r>
    </w:p>
    <w:p w:rsidR="00577761" w:rsidRPr="00AC4200" w:rsidRDefault="00577761" w:rsidP="00577761">
      <w:pPr>
        <w:rPr>
          <w:lang w:val="fr-CA"/>
        </w:rPr>
      </w:pPr>
      <w:r w:rsidRPr="00AC4200">
        <w:rPr>
          <w:lang w:val="fr-CA"/>
        </w:rPr>
        <w:t xml:space="preserve">IM – Information Management </w:t>
      </w:r>
    </w:p>
    <w:p w:rsidR="00577761" w:rsidRPr="00DD320E" w:rsidRDefault="00577761" w:rsidP="00577761">
      <w:r w:rsidRPr="00DD320E">
        <w:t>Indv – Individual</w:t>
      </w:r>
    </w:p>
    <w:p w:rsidR="00577761" w:rsidRPr="00DD320E" w:rsidRDefault="00577761" w:rsidP="00577761">
      <w:r w:rsidRPr="00DD320E">
        <w:t>Info – Information</w:t>
      </w:r>
    </w:p>
    <w:p w:rsidR="00577761" w:rsidRPr="00DD320E" w:rsidRDefault="000F7F14" w:rsidP="00577761">
      <w:r>
        <w:t>ISED – I</w:t>
      </w:r>
      <w:r w:rsidR="00577761" w:rsidRPr="00DD320E">
        <w:t xml:space="preserve">nnovation, Science and Economic Development Canada </w:t>
      </w:r>
    </w:p>
    <w:p w:rsidR="00577761" w:rsidRPr="00DD320E" w:rsidRDefault="000F7F14" w:rsidP="00577761">
      <w:r>
        <w:t>MunGov – Municipal Government</w:t>
      </w:r>
    </w:p>
    <w:p w:rsidR="00577761" w:rsidRPr="00DD320E" w:rsidRDefault="00577761" w:rsidP="00577761">
      <w:r w:rsidRPr="00DD320E">
        <w:t>MP</w:t>
      </w:r>
      <w:r w:rsidR="000F7F14">
        <w:t xml:space="preserve"> – M</w:t>
      </w:r>
      <w:r w:rsidRPr="00DD320E">
        <w:t>ember of Parliament</w:t>
      </w:r>
    </w:p>
    <w:p w:rsidR="00577761" w:rsidRPr="00DD320E" w:rsidRDefault="008F5B5B" w:rsidP="00577761">
      <w:r>
        <w:t>MPP – M</w:t>
      </w:r>
      <w:r w:rsidR="00577761" w:rsidRPr="00DD320E">
        <w:t>ember of Provincial Parliament</w:t>
      </w:r>
    </w:p>
    <w:p w:rsidR="00577761" w:rsidRPr="00DD320E" w:rsidRDefault="00577761" w:rsidP="00577761">
      <w:r w:rsidRPr="00DD320E">
        <w:t>NA – Not Applicable</w:t>
      </w:r>
    </w:p>
    <w:p w:rsidR="00577761" w:rsidRPr="00DD320E" w:rsidRDefault="00577761" w:rsidP="00577761">
      <w:r w:rsidRPr="00DD320E">
        <w:t>NFB</w:t>
      </w:r>
      <w:r w:rsidR="008F5B5B">
        <w:t xml:space="preserve"> – N</w:t>
      </w:r>
      <w:r w:rsidRPr="00DD320E">
        <w:t>ational Film Board of Canada</w:t>
      </w:r>
    </w:p>
    <w:p w:rsidR="00577761" w:rsidRPr="00DD320E" w:rsidRDefault="00577761" w:rsidP="00577761">
      <w:r w:rsidRPr="00DD320E">
        <w:t>NP – Non-profit</w:t>
      </w:r>
    </w:p>
    <w:p w:rsidR="00577761" w:rsidRPr="00DD320E" w:rsidRDefault="00577761" w:rsidP="00577761">
      <w:r w:rsidRPr="00DD320E">
        <w:t>OD – Open Data</w:t>
      </w:r>
    </w:p>
    <w:p w:rsidR="00577761" w:rsidRPr="00DD320E" w:rsidRDefault="00577761" w:rsidP="00577761">
      <w:r w:rsidRPr="00DD320E">
        <w:t>ODC – Open Data Canada</w:t>
      </w:r>
    </w:p>
    <w:p w:rsidR="00577761" w:rsidRPr="00DD320E" w:rsidRDefault="00577761" w:rsidP="00577761">
      <w:r w:rsidRPr="00DD320E">
        <w:t>ODI – Open Data Institute (See ODX)</w:t>
      </w:r>
      <w:r w:rsidR="008F5B5B">
        <w:t>; not to be confused with the UK Open Data Institute</w:t>
      </w:r>
      <w:r w:rsidRPr="00DD320E">
        <w:t xml:space="preserve"> </w:t>
      </w:r>
    </w:p>
    <w:p w:rsidR="00577761" w:rsidRPr="00DD320E" w:rsidRDefault="00577761" w:rsidP="00577761">
      <w:r w:rsidRPr="00DD320E">
        <w:t xml:space="preserve">ODX – Open Data Exchange (formerly CODEX – Canadian Open Data Exchange and/or the </w:t>
      </w:r>
      <w:r w:rsidR="008F5B5B">
        <w:t xml:space="preserve">Canadian </w:t>
      </w:r>
      <w:r w:rsidRPr="00DD320E">
        <w:t>Open Data Institute)</w:t>
      </w:r>
    </w:p>
    <w:p w:rsidR="00577761" w:rsidRPr="00DD320E" w:rsidRDefault="00577761" w:rsidP="00577761">
      <w:r w:rsidRPr="00DD320E">
        <w:t>OGAP2 – Open Government Action Plan 2 (Released October 2014)</w:t>
      </w:r>
    </w:p>
    <w:p w:rsidR="00577761" w:rsidRPr="00DD320E" w:rsidRDefault="00577761" w:rsidP="00577761">
      <w:r w:rsidRPr="00DD320E">
        <w:t>ON OG</w:t>
      </w:r>
      <w:r w:rsidR="008F5B5B">
        <w:t xml:space="preserve"> – O</w:t>
      </w:r>
      <w:r w:rsidRPr="00DD320E">
        <w:t>ntario Open Government</w:t>
      </w:r>
    </w:p>
    <w:p w:rsidR="00577761" w:rsidRPr="00DD320E" w:rsidRDefault="00577761" w:rsidP="00577761">
      <w:r w:rsidRPr="00DD320E">
        <w:t>PS – Public Service</w:t>
      </w:r>
    </w:p>
    <w:p w:rsidR="00577761" w:rsidRDefault="00577761" w:rsidP="00577761">
      <w:r w:rsidRPr="00DD320E">
        <w:t>P/T – Province/Territory</w:t>
      </w:r>
    </w:p>
    <w:p w:rsidR="00577761" w:rsidRPr="00DD320E" w:rsidRDefault="00577761" w:rsidP="00577761">
      <w:r>
        <w:t>PTGov</w:t>
      </w:r>
      <w:r w:rsidR="008F5B5B">
        <w:t xml:space="preserve"> – P</w:t>
      </w:r>
      <w:r>
        <w:t>rovincial or Territorial Government</w:t>
      </w:r>
    </w:p>
    <w:p w:rsidR="00577761" w:rsidRPr="00DD320E" w:rsidRDefault="00577761" w:rsidP="00577761">
      <w:r w:rsidRPr="00DD320E">
        <w:t>PWYP – Publish What You Pay</w:t>
      </w:r>
    </w:p>
    <w:p w:rsidR="00577761" w:rsidRPr="00DD320E" w:rsidRDefault="00577761" w:rsidP="00577761">
      <w:r w:rsidRPr="00DD320E">
        <w:t>SLAPP</w:t>
      </w:r>
      <w:r w:rsidR="008F5B5B">
        <w:t xml:space="preserve"> – S</w:t>
      </w:r>
      <w:r w:rsidRPr="00DD320E">
        <w:t xml:space="preserve">trategic Lawsuit </w:t>
      </w:r>
      <w:r w:rsidR="008F5B5B">
        <w:t>A</w:t>
      </w:r>
      <w:r w:rsidR="008F5B5B" w:rsidRPr="00DD320E">
        <w:t>gainst</w:t>
      </w:r>
      <w:r w:rsidRPr="00DD320E">
        <w:t xml:space="preserve"> Public Participation</w:t>
      </w:r>
    </w:p>
    <w:p w:rsidR="00577761" w:rsidRPr="00F71227" w:rsidRDefault="00577761" w:rsidP="00F71227">
      <w:r w:rsidRPr="00DD320E">
        <w:t>Sum – Summary</w:t>
      </w:r>
      <w:r w:rsidRPr="00AA6B64">
        <w:t xml:space="preserve"> </w:t>
      </w:r>
      <w:r w:rsidRPr="008F5B5B">
        <w:rPr>
          <w:color w:val="FF0000"/>
        </w:rPr>
        <w:br w:type="page"/>
      </w:r>
    </w:p>
    <w:p w:rsidR="009E13DF" w:rsidRDefault="009E13DF" w:rsidP="009E13DF">
      <w:pPr>
        <w:pStyle w:val="Heading1"/>
      </w:pPr>
      <w:r>
        <w:lastRenderedPageBreak/>
        <w:t>APPENDIX 6: Consultation Data</w:t>
      </w:r>
      <w:r>
        <w:tab/>
      </w:r>
    </w:p>
    <w:p w:rsidR="009E13DF" w:rsidRDefault="009E13DF" w:rsidP="009E13DF">
      <w:r>
        <w:t xml:space="preserve">These files contain the raw comments and coding used to produce the </w:t>
      </w:r>
      <w:r w:rsidR="00353E4A">
        <w:t>“</w:t>
      </w:r>
      <w:r>
        <w:t>What We Heard</w:t>
      </w:r>
      <w:r w:rsidR="00353E4A">
        <w:t>”</w:t>
      </w:r>
      <w:r>
        <w:t xml:space="preserve"> report. </w:t>
      </w:r>
    </w:p>
    <w:p w:rsidR="009E13DF" w:rsidRDefault="009E13DF" w:rsidP="000A798E">
      <w:pPr>
        <w:pStyle w:val="ListParagraph"/>
        <w:numPr>
          <w:ilvl w:val="0"/>
          <w:numId w:val="5"/>
        </w:numPr>
      </w:pPr>
      <w:r>
        <w:t>Individual Comments —</w:t>
      </w:r>
      <w:r w:rsidR="00321639">
        <w:t xml:space="preserve"> </w:t>
      </w:r>
      <w:r>
        <w:t>Open Government Action Plan Consultation Data</w:t>
      </w:r>
    </w:p>
    <w:p w:rsidR="000A798E" w:rsidRDefault="000A798E" w:rsidP="000A798E">
      <w:pPr>
        <w:pStyle w:val="ListParagraph"/>
        <w:numPr>
          <w:ilvl w:val="0"/>
          <w:numId w:val="5"/>
        </w:numPr>
      </w:pPr>
      <w:r w:rsidRPr="000A798E">
        <w:t>Compilation —</w:t>
      </w:r>
      <w:r w:rsidR="00321639">
        <w:t xml:space="preserve"> </w:t>
      </w:r>
      <w:r w:rsidRPr="000A798E">
        <w:t>Open Government Action Plan Consultation Data</w:t>
      </w:r>
    </w:p>
    <w:p w:rsidR="000A798E" w:rsidRPr="00AA6B64" w:rsidRDefault="000A798E" w:rsidP="000A798E">
      <w:pPr>
        <w:pStyle w:val="ListParagraph"/>
        <w:numPr>
          <w:ilvl w:val="0"/>
          <w:numId w:val="5"/>
        </w:numPr>
      </w:pPr>
      <w:r>
        <w:t>Release Notes</w:t>
      </w:r>
      <w:r w:rsidRPr="000A798E">
        <w:t xml:space="preserve"> —</w:t>
      </w:r>
      <w:r w:rsidR="00321639">
        <w:t xml:space="preserve"> </w:t>
      </w:r>
      <w:r>
        <w:t>Open Government Action Plan Consultation Data</w:t>
      </w:r>
    </w:p>
    <w:p w:rsidR="009E13DF" w:rsidRDefault="009E13DF" w:rsidP="009E13DF"/>
    <w:p w:rsidR="00D6343C" w:rsidRDefault="00D6343C" w:rsidP="009E13DF"/>
    <w:p w:rsidR="00D6343C" w:rsidRDefault="00D6343C" w:rsidP="00D6343C">
      <w:pPr>
        <w:pStyle w:val="Heading1"/>
      </w:pPr>
      <w:r>
        <w:t>Context WORDS</w:t>
      </w:r>
    </w:p>
    <w:p w:rsidR="00D6343C" w:rsidRDefault="00D6343C" w:rsidP="00D6343C">
      <w:pPr>
        <w:pStyle w:val="ListParagraph"/>
        <w:numPr>
          <w:ilvl w:val="0"/>
          <w:numId w:val="6"/>
        </w:numPr>
      </w:pPr>
      <w:r w:rsidRPr="00D6343C">
        <w:t>Engagement public and civil society</w:t>
      </w:r>
    </w:p>
    <w:p w:rsidR="00D6343C" w:rsidRDefault="00D6343C" w:rsidP="00D6343C">
      <w:pPr>
        <w:pStyle w:val="ListParagraph"/>
        <w:numPr>
          <w:ilvl w:val="0"/>
          <w:numId w:val="6"/>
        </w:numPr>
      </w:pPr>
      <w:r w:rsidRPr="00D6343C">
        <w:t>Collaboration across sectors</w:t>
      </w:r>
    </w:p>
    <w:p w:rsidR="00D6343C" w:rsidRPr="00D6343C" w:rsidRDefault="00D6343C" w:rsidP="00D6343C">
      <w:pPr>
        <w:pStyle w:val="ListParagraph"/>
        <w:numPr>
          <w:ilvl w:val="0"/>
          <w:numId w:val="6"/>
        </w:numPr>
      </w:pPr>
      <w:r>
        <w:t>Online idea</w:t>
      </w:r>
    </w:p>
    <w:p w:rsidR="00D6343C" w:rsidRPr="00D6343C" w:rsidRDefault="00D6343C" w:rsidP="00D6343C"/>
    <w:p w:rsidR="00DA7835" w:rsidRDefault="00DA7835" w:rsidP="00DA7835">
      <w:pPr>
        <w:pStyle w:val="Heading1"/>
        <w:rPr>
          <w:lang w:val="en-US"/>
        </w:rPr>
      </w:pPr>
      <w:r>
        <w:rPr>
          <w:lang w:val="en-US"/>
        </w:rPr>
        <w:t>Compilation sheet - Context data</w:t>
      </w:r>
    </w:p>
    <w:p w:rsidR="00DA7835" w:rsidRDefault="00DA7835" w:rsidP="00DA7835">
      <w:pPr>
        <w:rPr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</w:tblGrid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ARMA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Edmonton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Montreal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Ottawa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Toronto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Victoria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Practical Idea- Whitehorse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“Government accountability”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“Problematic governance”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 duty to document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Add support for a postal code geocoder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Addressing disincentives to open information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Adopt an iterative, flexible procurement model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Advocate for global taxation accountability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Anti-SLAPP legislation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AP Comment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321639">
            <w:pPr>
              <w:ind w:left="360" w:right="0"/>
            </w:pPr>
            <w:r w:rsidRPr="00141302">
              <w:t>AP comment</w:t>
            </w:r>
            <w:r>
              <w:t xml:space="preserve"> – i</w:t>
            </w:r>
            <w:r w:rsidRPr="00141302">
              <w:t>ndirect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lastRenderedPageBreak/>
              <w:t>Beneficial ownership transparency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Bring SeeClickFix to Canada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Canada’s New Plan on Open Government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Canada’s Action Plan on Open Government 2014-2016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Clarify how the Official Languages Act interacts with the Directive on Open Government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321639">
            <w:pPr>
              <w:ind w:left="360" w:right="0"/>
            </w:pPr>
            <w:r w:rsidRPr="00141302">
              <w:t>Conversational</w:t>
            </w:r>
            <w:r>
              <w:t xml:space="preserve"> – </w:t>
            </w:r>
            <w:r w:rsidRPr="00141302">
              <w:t>Quotable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Create a legal and cultural framework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Creating Canada’s Action Plan on Open Government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>
              <w:t>Crowdsourcing/</w:t>
            </w:r>
            <w:r w:rsidRPr="00141302">
              <w:t>open-sourcing conception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321639">
            <w:pPr>
              <w:ind w:left="360" w:right="0"/>
            </w:pPr>
            <w:r w:rsidRPr="00141302">
              <w:t>Data modelling/open data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321639">
            <w:pPr>
              <w:ind w:left="360" w:right="0"/>
            </w:pPr>
            <w:r w:rsidRPr="00141302">
              <w:t>Deficit spending</w:t>
            </w:r>
            <w:r>
              <w:t xml:space="preserve"> – </w:t>
            </w:r>
            <w:r w:rsidRPr="00141302">
              <w:t>not in favour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Detailed email from Victoria participant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Detailed submission into helping shape Canada’s Action Plan on Open Government 2016-2018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Develop an open data standard for…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Digital Preservation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Digital repository for GoC publications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321639">
            <w:pPr>
              <w:ind w:left="360" w:right="0"/>
            </w:pPr>
            <w:r>
              <w:t>Digital/</w:t>
            </w:r>
            <w:r w:rsidRPr="00141302">
              <w:t xml:space="preserve">web literacy/participation 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Discretion for frivolous and vexatious…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General discussion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Donations to MPs publicly published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Draft Plan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321639">
            <w:pPr>
              <w:ind w:left="360" w:right="0"/>
            </w:pPr>
            <w:r w:rsidRPr="00141302">
              <w:t>Draft Plan</w:t>
            </w:r>
            <w:r>
              <w:t xml:space="preserve"> – D</w:t>
            </w:r>
            <w:r w:rsidRPr="00141302">
              <w:t>etailed Submission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>
              <w:t xml:space="preserve">Draft Plan -- </w:t>
            </w:r>
            <w:r w:rsidRPr="00141302">
              <w:t>letter addressed to TBS President Scott Brison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>
              <w:lastRenderedPageBreak/>
              <w:t>Draft Plan – A</w:t>
            </w:r>
            <w:r w:rsidRPr="00141302">
              <w:t>P 3 events page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 w:rsidRPr="00141302">
              <w:t>Draft Plan</w:t>
            </w:r>
            <w:r>
              <w:t xml:space="preserve"> – A</w:t>
            </w:r>
            <w:r w:rsidRPr="00141302">
              <w:t>TI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 w:rsidRPr="00141302">
              <w:t>Draft Plan</w:t>
            </w:r>
            <w:r>
              <w:t xml:space="preserve"> – </w:t>
            </w:r>
            <w:r w:rsidRPr="00141302">
              <w:t>Beneficial ownership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 w:rsidRPr="00141302">
              <w:t>Draft plan</w:t>
            </w:r>
            <w:r>
              <w:t xml:space="preserve"> – </w:t>
            </w:r>
            <w:r w:rsidRPr="00141302">
              <w:t>blog post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 w:rsidRPr="00141302">
              <w:t>Draft Plan</w:t>
            </w:r>
            <w:r>
              <w:t xml:space="preserve"> – </w:t>
            </w:r>
            <w:r w:rsidRPr="00141302">
              <w:t>Canadian corporations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>
              <w:t xml:space="preserve">Draft Plan – </w:t>
            </w:r>
            <w:r w:rsidRPr="00141302">
              <w:t xml:space="preserve">feedback from ON OG Team 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 w:rsidRPr="00141302">
              <w:t>Draft Plan</w:t>
            </w:r>
            <w:r>
              <w:t xml:space="preserve"> – </w:t>
            </w:r>
            <w:r w:rsidRPr="00141302">
              <w:t>OD Working Group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69794C">
            <w:pPr>
              <w:ind w:left="360" w:right="0"/>
            </w:pPr>
            <w:r w:rsidRPr="00141302">
              <w:t>Draft Plan</w:t>
            </w:r>
            <w:r>
              <w:t xml:space="preserve"> – </w:t>
            </w:r>
            <w:r w:rsidRPr="00141302">
              <w:t>via.hypothesis.is site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Draft Plan Blog post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Email freedom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Endorse and fully implement international transparency initiatives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Endorsing parliamentary openness in…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Engaging parliamentary data users to…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Enhancing Whistleblower protection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Environmental enforcement and compliance database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Establish a multi-stakeholder forum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Events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Expand GitHub usage in GoC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Expand  Open Government Licence to include CBC and NFB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Fees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Fiber Optic Access for all citizens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Future Engagement Question</w:t>
            </w:r>
            <w:r>
              <w:t xml:space="preserve"> – </w:t>
            </w:r>
            <w:r w:rsidRPr="00141302">
              <w:t>ARMA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>
              <w:t xml:space="preserve">Future Engagement Question – </w:t>
            </w:r>
            <w:r w:rsidRPr="00141302">
              <w:t xml:space="preserve"> Edmonton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>
              <w:t xml:space="preserve">Future Engagement Question – </w:t>
            </w:r>
            <w:r w:rsidRPr="00141302">
              <w:t>Montreal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Future Engagement Question</w:t>
            </w:r>
            <w:r>
              <w:t xml:space="preserve"> – </w:t>
            </w:r>
            <w:r w:rsidRPr="00141302">
              <w:t>Ottawa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 xml:space="preserve">Future Engagement Question – </w:t>
            </w:r>
            <w:r w:rsidRPr="00141302">
              <w:lastRenderedPageBreak/>
              <w:t>Toronto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>
              <w:lastRenderedPageBreak/>
              <w:t>Future Engagement Question –</w:t>
            </w:r>
            <w:r w:rsidRPr="00141302">
              <w:t>Victoria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>
              <w:t>Future Engagement Question –</w:t>
            </w:r>
            <w:r w:rsidRPr="00141302">
              <w:t xml:space="preserve"> Whitehorse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Global and cross-sector collaboration on open data agriculture and nutrition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Government proposals to revitalize…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Government-wide waiver of Crown copyright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Victoria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what shld be included – </w:t>
            </w:r>
            <w:r w:rsidRPr="00141302">
              <w:t>ARMA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ARMA</w:t>
            </w:r>
            <w:r>
              <w:t xml:space="preserve"> –</w:t>
            </w:r>
            <w:r w:rsidRPr="00141302">
              <w:t xml:space="preserve"> 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>
              <w:t>Group – what shld be included –</w:t>
            </w:r>
            <w:r w:rsidRPr="00141302">
              <w:t>Edmonton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Edmonton</w:t>
            </w:r>
            <w:r>
              <w:t xml:space="preserve"> – </w:t>
            </w:r>
            <w:r w:rsidRPr="00141302">
              <w:t>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</w:t>
            </w:r>
            <w:r>
              <w:t>ld be included –</w:t>
            </w:r>
            <w:r w:rsidRPr="00141302">
              <w:t>Montreal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Montreal</w:t>
            </w:r>
            <w:r>
              <w:t xml:space="preserve"> – </w:t>
            </w:r>
            <w:r w:rsidRPr="00141302">
              <w:t>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</w:t>
            </w:r>
            <w:r w:rsidRPr="00141302">
              <w:t xml:space="preserve"> what shld be included</w:t>
            </w:r>
            <w:r>
              <w:t xml:space="preserve"> – </w:t>
            </w:r>
            <w:r w:rsidRPr="00141302">
              <w:t>Ottawa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Ottawa</w:t>
            </w:r>
            <w:r>
              <w:t xml:space="preserve"> – </w:t>
            </w:r>
            <w:r w:rsidRPr="00141302">
              <w:t>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Toronto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Toronto</w:t>
            </w:r>
            <w:r>
              <w:t xml:space="preserve"> – </w:t>
            </w:r>
            <w:r w:rsidRPr="00141302">
              <w:t>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Victoria</w:t>
            </w:r>
            <w:r>
              <w:t xml:space="preserve"> – </w:t>
            </w:r>
            <w:r w:rsidRPr="00141302">
              <w:t>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t>Whitehorse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DB6E20">
            <w:pPr>
              <w:ind w:left="360" w:right="0"/>
            </w:pPr>
            <w:r w:rsidRPr="00141302">
              <w:t>Group</w:t>
            </w:r>
            <w:r>
              <w:t xml:space="preserve"> – </w:t>
            </w:r>
            <w:r w:rsidRPr="00141302">
              <w:t>what shld be included</w:t>
            </w:r>
            <w:r>
              <w:t xml:space="preserve"> – </w:t>
            </w:r>
            <w:r w:rsidRPr="00141302">
              <w:lastRenderedPageBreak/>
              <w:t>Whitehorse</w:t>
            </w:r>
            <w:r>
              <w:t xml:space="preserve"> – </w:t>
            </w:r>
            <w:r w:rsidRPr="00141302">
              <w:t>#1 Idea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CA138A" w:rsidP="00141302">
            <w:pPr>
              <w:ind w:left="360" w:right="0"/>
            </w:pPr>
            <w:hyperlink r:id="rId11" w:history="1">
              <w:r w:rsidR="00E33470" w:rsidRPr="00141302">
                <w:rPr>
                  <w:rStyle w:val="Hyperlink"/>
                  <w:rFonts w:cs="Arial"/>
                </w:rPr>
                <w:t>https://gcconnex.gc.ca/blog/view/19598226/what-exactly-is-open-government-where-we%E2%80%99re-headed-part-2-of-2</w:t>
              </w:r>
            </w:hyperlink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CA138A" w:rsidP="00141302">
            <w:pPr>
              <w:ind w:left="360" w:right="0"/>
            </w:pPr>
            <w:hyperlink r:id="rId12" w:history="1">
              <w:r w:rsidR="00E33470" w:rsidRPr="00141302">
                <w:rPr>
                  <w:rStyle w:val="Hyperlink"/>
                  <w:rFonts w:cs="Arial"/>
                </w:rPr>
                <w:t>https://multiculturalmeanderings.wordpress.com/2016/04/02/trudeau-government-asks-for-ideas-on-open-government/</w:t>
              </w:r>
            </w:hyperlink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Idea submission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Innovation Fair Poster Board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Innovation for the public good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In-person events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Internal email from Service for Business, ISED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Internal Summary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Inventions ouvertes/ Open Inventions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Joint submission for CJFE, CAJ et al.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Legal summaries limited to the top 1000 most common words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M</w:t>
            </w:r>
            <w:r>
              <w:t>ak</w:t>
            </w:r>
            <w:r w:rsidRPr="00141302">
              <w:t>e code available for reuse across GoC &amp; release to the public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Make things open: it makes things better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Meaningful dialogue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Meeting with Council of Yukon First Nations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Most Debated Idea</w:t>
            </w:r>
            <w:r>
              <w:t xml:space="preserve"> – </w:t>
            </w:r>
            <w:r w:rsidRPr="00141302">
              <w:t>ARMA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Most Debated Idea</w:t>
            </w:r>
            <w:r>
              <w:t xml:space="preserve"> – </w:t>
            </w:r>
            <w:r w:rsidRPr="00141302">
              <w:t>Toronto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Most Debated Idea</w:t>
            </w:r>
            <w:r>
              <w:t xml:space="preserve"> – </w:t>
            </w:r>
            <w:r w:rsidRPr="00141302">
              <w:t>Victoria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Most debated idea</w:t>
            </w:r>
            <w:r>
              <w:t xml:space="preserve"> – </w:t>
            </w:r>
            <w:r w:rsidRPr="00141302">
              <w:t>Whitehorse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Multi-stakeholder forum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Next Steps for the Mandatory Reporting on Extractives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 xml:space="preserve">Notes from Google Hangout (core </w:t>
            </w:r>
            <w:r w:rsidRPr="00141302">
              <w:lastRenderedPageBreak/>
              <w:t>guests)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lastRenderedPageBreak/>
              <w:t>ODX- One Challenge You’ve Heard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ODX- Opportunity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ODX- Recommendations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Offer vital web services as free public infrastructure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commentRangeStart w:id="4"/>
            <w:r w:rsidRPr="00141302">
              <w:t>OkFestMtl</w:t>
            </w:r>
            <w:commentRangeEnd w:id="4"/>
            <w:r>
              <w:rPr>
                <w:rStyle w:val="CommentReference"/>
                <w:lang w:val="en-CA"/>
              </w:rPr>
              <w:commentReference w:id="4"/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One thing per bill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by default and modern, easy to use…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Open Canada</w:t>
            </w:r>
            <w:r>
              <w:t xml:space="preserve"> – </w:t>
            </w:r>
            <w:r w:rsidRPr="00141302">
              <w:t>mp and mpp accountability and transparency of work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Contracting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contracts with private firms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 xml:space="preserve">Open data for innovation 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Fiscal Framework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Government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Government means Federal….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information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Response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Open science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Comment</w:t>
            </w:r>
            <w:r>
              <w:t xml:space="preserve"> – </w:t>
            </w:r>
            <w:r w:rsidRPr="00141302">
              <w:t>ARMA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Comment</w:t>
            </w:r>
            <w:r>
              <w:t xml:space="preserve"> – </w:t>
            </w:r>
            <w:r w:rsidRPr="00141302">
              <w:t>Edmonton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Comment</w:t>
            </w:r>
            <w:r>
              <w:t xml:space="preserve"> – </w:t>
            </w:r>
            <w:r w:rsidRPr="00141302">
              <w:t>Montreal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Comment</w:t>
            </w:r>
            <w:r>
              <w:t xml:space="preserve"> – </w:t>
            </w:r>
            <w:r w:rsidRPr="00141302">
              <w:t>Toronto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Comment</w:t>
            </w:r>
            <w:r>
              <w:t xml:space="preserve"> – </w:t>
            </w:r>
            <w:r w:rsidRPr="00141302">
              <w:t>Victoria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Comment</w:t>
            </w:r>
            <w:r>
              <w:t xml:space="preserve"> – </w:t>
            </w:r>
            <w:r w:rsidRPr="00141302">
              <w:t>Whitehorse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Table Thoughts</w:t>
            </w:r>
            <w:r>
              <w:t xml:space="preserve"> – </w:t>
            </w:r>
            <w:r w:rsidRPr="00141302">
              <w:t>ARMA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Table Thoughts</w:t>
            </w:r>
            <w:r>
              <w:t xml:space="preserve"> – </w:t>
            </w:r>
            <w:r w:rsidRPr="00141302">
              <w:t>Edmonton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Table Thoughts</w:t>
            </w:r>
            <w:r>
              <w:t xml:space="preserve"> – </w:t>
            </w:r>
            <w:r w:rsidRPr="00141302">
              <w:t>Montreal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Table Thoughts</w:t>
            </w:r>
            <w:r>
              <w:t xml:space="preserve"> – </w:t>
            </w:r>
            <w:r w:rsidRPr="00141302">
              <w:t>Toronto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Table Thoughts</w:t>
            </w:r>
            <w:r>
              <w:t xml:space="preserve"> – </w:t>
            </w:r>
            <w:r w:rsidRPr="00141302">
              <w:t>Victoria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714610">
            <w:pPr>
              <w:ind w:left="360" w:right="0"/>
            </w:pPr>
            <w:r w:rsidRPr="00141302">
              <w:t>Other Table Thoughts</w:t>
            </w:r>
            <w:r>
              <w:t xml:space="preserve"> – </w:t>
            </w:r>
            <w:r w:rsidRPr="00141302">
              <w:t>Whitehorse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lastRenderedPageBreak/>
              <w:t>Part of detailed submission from Centre for Law and Democracy received via email May 19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Performance dashboard for government services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Piloting a context- focused engagement approach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Place selected draft government policy, regulations and legislation on GitHub for public consultation</w:t>
            </w:r>
          </w:p>
        </w:tc>
      </w:tr>
      <w:tr w:rsidR="00E33470" w:rsidRPr="00616C86" w:rsidTr="00DA7835">
        <w:tc>
          <w:tcPr>
            <w:tcW w:w="4428" w:type="dxa"/>
          </w:tcPr>
          <w:p w:rsidR="00E33470" w:rsidRPr="00AC4200" w:rsidRDefault="00E33470" w:rsidP="00583F31">
            <w:pPr>
              <w:ind w:left="360" w:right="0"/>
              <w:rPr>
                <w:lang w:val="fr-CA"/>
              </w:rPr>
            </w:pPr>
            <w:r w:rsidRPr="00AC4200">
              <w:rPr>
                <w:lang w:val="fr-CA"/>
              </w:rPr>
              <w:t>Postal Code Database</w:t>
            </w:r>
            <w:r>
              <w:rPr>
                <w:lang w:val="fr-CA"/>
              </w:rPr>
              <w:t xml:space="preserve"> </w:t>
            </w:r>
            <w:r w:rsidRPr="00583F31">
              <w:rPr>
                <w:lang w:val="fr-CA"/>
              </w:rPr>
              <w:t xml:space="preserve">– </w:t>
            </w:r>
            <w:r w:rsidRPr="00AC4200">
              <w:rPr>
                <w:lang w:val="fr-CA"/>
              </w:rPr>
              <w:t>Dataset Comment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Postal Codes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Prosecute politicians who break our laws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Public data as “infrastructure”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Question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583F31">
            <w:pPr>
              <w:ind w:left="360" w:right="0"/>
            </w:pPr>
            <w:r w:rsidRPr="00141302">
              <w:t>Question</w:t>
            </w:r>
            <w:r>
              <w:t xml:space="preserve"> – </w:t>
            </w:r>
            <w:r w:rsidRPr="00141302">
              <w:t>Google Hangout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Question from Google hangout Question 1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Rights and Over-the-Air (OTA) television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Some overall and content suggestions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Submit a detailed proposal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Support adoption of International Aid….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Sustainable Development Goals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Taxation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The Open Dialogue Initiative: Making the Government of Canada a World Leader in Open Dialogue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Toxic to thoughtful discourse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Unions &amp; Aboriginal matters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Updating Freedom of Information legislation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Using the Data: Mandatory Payment…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9821B1">
            <w:pPr>
              <w:ind w:left="360" w:right="0"/>
            </w:pPr>
            <w:r w:rsidRPr="00141302">
              <w:lastRenderedPageBreak/>
              <w:t>Whistleblower protection</w:t>
            </w:r>
            <w:r>
              <w:t xml:space="preserve"> – </w:t>
            </w:r>
            <w:r w:rsidRPr="00141302">
              <w:t>act on OGD commitment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Written explanation to requestors</w:t>
            </w:r>
          </w:p>
        </w:tc>
      </w:tr>
      <w:tr w:rsidR="00E33470" w:rsidRPr="00DA7835" w:rsidTr="00DA7835">
        <w:tc>
          <w:tcPr>
            <w:tcW w:w="4428" w:type="dxa"/>
          </w:tcPr>
          <w:p w:rsidR="00E33470" w:rsidRPr="00141302" w:rsidRDefault="00E33470" w:rsidP="00141302">
            <w:pPr>
              <w:ind w:left="360" w:right="0"/>
            </w:pPr>
            <w:r w:rsidRPr="00141302">
              <w:t>Youth employment strategy open data initiative</w:t>
            </w:r>
            <w:r>
              <w:t xml:space="preserve"> </w:t>
            </w:r>
            <w:r w:rsidRPr="00141302">
              <w:t>/ Access to Information</w:t>
            </w:r>
            <w:r>
              <w:t xml:space="preserve"> </w:t>
            </w:r>
            <w:r w:rsidRPr="00141302">
              <w:t>/ smartphone app</w:t>
            </w:r>
          </w:p>
        </w:tc>
      </w:tr>
    </w:tbl>
    <w:p w:rsidR="00DA7835" w:rsidRPr="009821B1" w:rsidRDefault="00DA7835" w:rsidP="00DA7835"/>
    <w:p w:rsidR="00DA7835" w:rsidRPr="00DA7835" w:rsidRDefault="00DA7835" w:rsidP="00DA7835"/>
    <w:sectPr w:rsidR="00DA7835" w:rsidRPr="00DA78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earney, Thomas" w:date="2016-11-08T10:50:00Z" w:initials="tk">
    <w:p w:rsidR="00616C86" w:rsidRDefault="00616C86">
      <w:pPr>
        <w:pStyle w:val="CommentText"/>
      </w:pPr>
      <w:r>
        <w:rPr>
          <w:rStyle w:val="CommentReference"/>
        </w:rPr>
        <w:annotationRef/>
      </w:r>
      <w:r>
        <w:t>Add link when available</w:t>
      </w:r>
    </w:p>
  </w:comment>
  <w:comment w:id="4" w:author="Fuller, Karin" w:date="2016-08-26T08:34:00Z" w:initials="KF">
    <w:p w:rsidR="00E33470" w:rsidRDefault="00E33470">
      <w:pPr>
        <w:pStyle w:val="CommentText"/>
      </w:pPr>
      <w:r>
        <w:rPr>
          <w:rStyle w:val="CommentReference"/>
        </w:rPr>
        <w:annotationRef/>
      </w:r>
      <w:hyperlink r:id="rId1" w:history="1">
        <w:r w:rsidRPr="00192C05">
          <w:rPr>
            <w:rStyle w:val="Hyperlink"/>
            <w:rFonts w:cs="Arial"/>
            <w:sz w:val="20"/>
          </w:rPr>
          <w:t>http://ca.okfn.org/okfestmtl/?lang=en</w:t>
        </w:r>
      </w:hyperlink>
      <w:r>
        <w:t xml:space="preserve"> for translation reference</w:t>
      </w:r>
    </w:p>
    <w:p w:rsidR="00E33470" w:rsidRDefault="00E33470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8A" w:rsidRDefault="00CA138A" w:rsidP="00F95A1B">
      <w:pPr>
        <w:spacing w:after="0"/>
      </w:pPr>
      <w:r>
        <w:separator/>
      </w:r>
    </w:p>
  </w:endnote>
  <w:endnote w:type="continuationSeparator" w:id="0">
    <w:p w:rsidR="00CA138A" w:rsidRDefault="00CA138A" w:rsidP="00F95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3" w:rsidRDefault="00B756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3" w:rsidRDefault="00B756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3" w:rsidRDefault="00B75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8A" w:rsidRDefault="00CA138A" w:rsidP="00F95A1B">
      <w:pPr>
        <w:spacing w:after="0"/>
      </w:pPr>
      <w:r>
        <w:separator/>
      </w:r>
    </w:p>
  </w:footnote>
  <w:footnote w:type="continuationSeparator" w:id="0">
    <w:p w:rsidR="00CA138A" w:rsidRDefault="00CA138A" w:rsidP="00F95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3" w:rsidRDefault="00616C86" w:rsidP="00616C86">
    <w:pPr>
      <w:pStyle w:val="Header"/>
      <w:jc w:val="right"/>
      <w:rPr>
        <w:color w:val="000000"/>
      </w:rPr>
    </w:pPr>
    <w:bookmarkStart w:id="5" w:name="aliashPOLUnclassified1HeaderEvenPages"/>
    <w:r>
      <w:rPr>
        <w:color w:val="000000"/>
      </w:rPr>
      <w:t>UNCLASSIFIED / NON CLASSIFIÉ</w:t>
    </w:r>
  </w:p>
  <w:bookmarkEnd w:id="5"/>
  <w:p w:rsidR="00B75673" w:rsidRDefault="00B75673" w:rsidP="009806F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3" w:rsidRDefault="00616C86" w:rsidP="00616C86">
    <w:pPr>
      <w:pStyle w:val="Header"/>
      <w:jc w:val="right"/>
      <w:rPr>
        <w:color w:val="000000"/>
      </w:rPr>
    </w:pPr>
    <w:bookmarkStart w:id="6" w:name="aliashPOLUnclassified1HeaderPrimary"/>
    <w:r>
      <w:rPr>
        <w:color w:val="000000"/>
      </w:rPr>
      <w:t>UNCLASSIFIED / NON CLASSIFIÉ</w:t>
    </w:r>
  </w:p>
  <w:bookmarkEnd w:id="6"/>
  <w:p w:rsidR="00B75673" w:rsidRDefault="00B75673" w:rsidP="009806F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73" w:rsidRDefault="00616C86" w:rsidP="00616C86">
    <w:pPr>
      <w:pStyle w:val="Header"/>
      <w:jc w:val="right"/>
      <w:rPr>
        <w:color w:val="000000"/>
      </w:rPr>
    </w:pPr>
    <w:bookmarkStart w:id="7" w:name="aliashPOLUnclassified1HeaderFirstPage"/>
    <w:r>
      <w:rPr>
        <w:color w:val="000000"/>
      </w:rPr>
      <w:t>UNCLASSIFIED / NON CLASSIFIÉ</w:t>
    </w:r>
  </w:p>
  <w:bookmarkEnd w:id="7"/>
  <w:p w:rsidR="00B75673" w:rsidRDefault="00B75673" w:rsidP="009806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DB"/>
    <w:multiLevelType w:val="hybridMultilevel"/>
    <w:tmpl w:val="13B0AE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1F8B"/>
    <w:multiLevelType w:val="hybridMultilevel"/>
    <w:tmpl w:val="A1085B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22ED3"/>
    <w:multiLevelType w:val="hybridMultilevel"/>
    <w:tmpl w:val="30EE8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27BD"/>
    <w:multiLevelType w:val="hybridMultilevel"/>
    <w:tmpl w:val="93407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57E42"/>
    <w:multiLevelType w:val="hybridMultilevel"/>
    <w:tmpl w:val="212C0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0023A"/>
    <w:multiLevelType w:val="hybridMultilevel"/>
    <w:tmpl w:val="4448E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03B87"/>
    <w:multiLevelType w:val="hybridMultilevel"/>
    <w:tmpl w:val="C9042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51E83"/>
    <w:multiLevelType w:val="hybridMultilevel"/>
    <w:tmpl w:val="8C6C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A3D25"/>
    <w:multiLevelType w:val="hybridMultilevel"/>
    <w:tmpl w:val="415A8036"/>
    <w:lvl w:ilvl="0" w:tplc="4580CC52">
      <w:start w:val="1"/>
      <w:numFmt w:val="bullet"/>
      <w:pStyle w:val="Bullet1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6C51A0">
      <w:start w:val="1"/>
      <w:numFmt w:val="bullet"/>
      <w:pStyle w:val="Bullet2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5B633810"/>
    <w:multiLevelType w:val="hybridMultilevel"/>
    <w:tmpl w:val="1CF40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A2D21"/>
    <w:multiLevelType w:val="hybridMultilevel"/>
    <w:tmpl w:val="F6409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86A7D"/>
    <w:multiLevelType w:val="hybridMultilevel"/>
    <w:tmpl w:val="2DE40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63"/>
    <w:rsid w:val="00003E24"/>
    <w:rsid w:val="00010F1F"/>
    <w:rsid w:val="00034A61"/>
    <w:rsid w:val="000638C2"/>
    <w:rsid w:val="000706F0"/>
    <w:rsid w:val="0007488A"/>
    <w:rsid w:val="000848B0"/>
    <w:rsid w:val="00093D09"/>
    <w:rsid w:val="00097691"/>
    <w:rsid w:val="000A2EDE"/>
    <w:rsid w:val="000A798E"/>
    <w:rsid w:val="000C74F5"/>
    <w:rsid w:val="000F6370"/>
    <w:rsid w:val="000F7F14"/>
    <w:rsid w:val="001027AD"/>
    <w:rsid w:val="00141302"/>
    <w:rsid w:val="00191B2E"/>
    <w:rsid w:val="00194993"/>
    <w:rsid w:val="00197B79"/>
    <w:rsid w:val="001A45F3"/>
    <w:rsid w:val="001C5671"/>
    <w:rsid w:val="001E2D08"/>
    <w:rsid w:val="001E5AB5"/>
    <w:rsid w:val="001E7E6D"/>
    <w:rsid w:val="00220A05"/>
    <w:rsid w:val="002567AE"/>
    <w:rsid w:val="00256992"/>
    <w:rsid w:val="00281C29"/>
    <w:rsid w:val="002833A5"/>
    <w:rsid w:val="002A5958"/>
    <w:rsid w:val="002D3E4F"/>
    <w:rsid w:val="002F0EE3"/>
    <w:rsid w:val="0031307F"/>
    <w:rsid w:val="00321639"/>
    <w:rsid w:val="003247D2"/>
    <w:rsid w:val="00332C2D"/>
    <w:rsid w:val="00353E4A"/>
    <w:rsid w:val="0037761A"/>
    <w:rsid w:val="003A2FB8"/>
    <w:rsid w:val="003B2DFC"/>
    <w:rsid w:val="003B3B89"/>
    <w:rsid w:val="004165E7"/>
    <w:rsid w:val="0044665F"/>
    <w:rsid w:val="004565F8"/>
    <w:rsid w:val="004702F5"/>
    <w:rsid w:val="00480F26"/>
    <w:rsid w:val="0048651D"/>
    <w:rsid w:val="00515430"/>
    <w:rsid w:val="00531C47"/>
    <w:rsid w:val="00544899"/>
    <w:rsid w:val="00551223"/>
    <w:rsid w:val="00565CBC"/>
    <w:rsid w:val="005708C7"/>
    <w:rsid w:val="0057529F"/>
    <w:rsid w:val="00577761"/>
    <w:rsid w:val="00583F31"/>
    <w:rsid w:val="00584324"/>
    <w:rsid w:val="00587DC2"/>
    <w:rsid w:val="005A08F6"/>
    <w:rsid w:val="00616C86"/>
    <w:rsid w:val="00642F47"/>
    <w:rsid w:val="0067089B"/>
    <w:rsid w:val="00672254"/>
    <w:rsid w:val="0069303F"/>
    <w:rsid w:val="006973F4"/>
    <w:rsid w:val="00697648"/>
    <w:rsid w:val="0069794C"/>
    <w:rsid w:val="006B0020"/>
    <w:rsid w:val="006D2F2A"/>
    <w:rsid w:val="006E76C3"/>
    <w:rsid w:val="00703533"/>
    <w:rsid w:val="00706BED"/>
    <w:rsid w:val="00714610"/>
    <w:rsid w:val="007174BB"/>
    <w:rsid w:val="00732A5E"/>
    <w:rsid w:val="00750202"/>
    <w:rsid w:val="00790623"/>
    <w:rsid w:val="00790C6D"/>
    <w:rsid w:val="007A59D2"/>
    <w:rsid w:val="007C3540"/>
    <w:rsid w:val="0081150E"/>
    <w:rsid w:val="00823E62"/>
    <w:rsid w:val="00836E40"/>
    <w:rsid w:val="00840C92"/>
    <w:rsid w:val="008462E4"/>
    <w:rsid w:val="00862A5A"/>
    <w:rsid w:val="00885A7F"/>
    <w:rsid w:val="008B5E36"/>
    <w:rsid w:val="008E174A"/>
    <w:rsid w:val="008E2204"/>
    <w:rsid w:val="008E3350"/>
    <w:rsid w:val="008E3B42"/>
    <w:rsid w:val="008F5B5B"/>
    <w:rsid w:val="009172A7"/>
    <w:rsid w:val="0093439C"/>
    <w:rsid w:val="00973494"/>
    <w:rsid w:val="009806FE"/>
    <w:rsid w:val="009821B1"/>
    <w:rsid w:val="009A63CD"/>
    <w:rsid w:val="009C1B23"/>
    <w:rsid w:val="009D10B6"/>
    <w:rsid w:val="009E13DF"/>
    <w:rsid w:val="009E2F49"/>
    <w:rsid w:val="009E5F8E"/>
    <w:rsid w:val="00A16C1A"/>
    <w:rsid w:val="00A22B4A"/>
    <w:rsid w:val="00A27A56"/>
    <w:rsid w:val="00A331B3"/>
    <w:rsid w:val="00A406D9"/>
    <w:rsid w:val="00A46600"/>
    <w:rsid w:val="00A62883"/>
    <w:rsid w:val="00A63545"/>
    <w:rsid w:val="00A70040"/>
    <w:rsid w:val="00A748D0"/>
    <w:rsid w:val="00A75642"/>
    <w:rsid w:val="00A822EC"/>
    <w:rsid w:val="00A832BC"/>
    <w:rsid w:val="00AA05B1"/>
    <w:rsid w:val="00AA6B64"/>
    <w:rsid w:val="00AB1E6F"/>
    <w:rsid w:val="00AC4200"/>
    <w:rsid w:val="00B046F3"/>
    <w:rsid w:val="00B33C3A"/>
    <w:rsid w:val="00B5327D"/>
    <w:rsid w:val="00B70959"/>
    <w:rsid w:val="00B75673"/>
    <w:rsid w:val="00BB6885"/>
    <w:rsid w:val="00BD0E57"/>
    <w:rsid w:val="00BE2DA1"/>
    <w:rsid w:val="00BE4F45"/>
    <w:rsid w:val="00BF4563"/>
    <w:rsid w:val="00C03CC3"/>
    <w:rsid w:val="00C20316"/>
    <w:rsid w:val="00C23152"/>
    <w:rsid w:val="00C24A0A"/>
    <w:rsid w:val="00C256D6"/>
    <w:rsid w:val="00C27488"/>
    <w:rsid w:val="00C27499"/>
    <w:rsid w:val="00C43BB9"/>
    <w:rsid w:val="00C475F3"/>
    <w:rsid w:val="00C852A5"/>
    <w:rsid w:val="00CA138A"/>
    <w:rsid w:val="00CB65AD"/>
    <w:rsid w:val="00CC3D28"/>
    <w:rsid w:val="00CE5D3D"/>
    <w:rsid w:val="00D029A4"/>
    <w:rsid w:val="00D1264F"/>
    <w:rsid w:val="00D13557"/>
    <w:rsid w:val="00D2384A"/>
    <w:rsid w:val="00D6343C"/>
    <w:rsid w:val="00D63EA6"/>
    <w:rsid w:val="00D87C28"/>
    <w:rsid w:val="00D9054F"/>
    <w:rsid w:val="00DA7835"/>
    <w:rsid w:val="00DB6E20"/>
    <w:rsid w:val="00DD0DE9"/>
    <w:rsid w:val="00DD320E"/>
    <w:rsid w:val="00DD35DE"/>
    <w:rsid w:val="00DD767D"/>
    <w:rsid w:val="00DE3C67"/>
    <w:rsid w:val="00E277C5"/>
    <w:rsid w:val="00E33470"/>
    <w:rsid w:val="00E404D2"/>
    <w:rsid w:val="00E65974"/>
    <w:rsid w:val="00EB2A72"/>
    <w:rsid w:val="00EC5696"/>
    <w:rsid w:val="00EE1534"/>
    <w:rsid w:val="00EE4219"/>
    <w:rsid w:val="00EE45AE"/>
    <w:rsid w:val="00F24BF7"/>
    <w:rsid w:val="00F575E5"/>
    <w:rsid w:val="00F71227"/>
    <w:rsid w:val="00F718BA"/>
    <w:rsid w:val="00F859F5"/>
    <w:rsid w:val="00F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40C92"/>
    <w:pPr>
      <w:spacing w:after="96" w:line="240" w:lineRule="auto"/>
      <w:ind w:right="113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8D0"/>
    <w:pPr>
      <w:pBdr>
        <w:bottom w:val="single" w:sz="4" w:space="1" w:color="auto"/>
      </w:pBdr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A748D0"/>
    <w:pPr>
      <w:pBdr>
        <w:bottom w:val="none" w:sz="0" w:space="0" w:color="auto"/>
      </w:pBd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qFormat/>
    <w:rsid w:val="00840C92"/>
    <w:pPr>
      <w:keepNext/>
      <w:keepLines/>
      <w:spacing w:before="200" w:after="0"/>
      <w:outlineLvl w:val="2"/>
    </w:pPr>
    <w:rPr>
      <w:rFonts w:eastAsia="Calibri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840C9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qFormat/>
    <w:rsid w:val="00840C92"/>
    <w:pPr>
      <w:keepNext/>
      <w:keepLines/>
      <w:spacing w:before="200" w:after="0"/>
      <w:outlineLvl w:val="4"/>
    </w:pPr>
    <w:rPr>
      <w:rFonts w:ascii="Cambria" w:eastAsia="Calibri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40C9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40C9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qFormat/>
    <w:rsid w:val="00840C92"/>
    <w:pPr>
      <w:keepNext/>
      <w:keepLines/>
      <w:spacing w:before="200" w:after="0"/>
      <w:outlineLvl w:val="7"/>
    </w:pPr>
    <w:rPr>
      <w:rFonts w:ascii="Cambria" w:eastAsia="Calibri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840C92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40C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40C9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0C92"/>
    <w:pPr>
      <w:spacing w:after="0"/>
    </w:pPr>
  </w:style>
  <w:style w:type="character" w:customStyle="1" w:styleId="BodyTextChar">
    <w:name w:val="Body Text Char"/>
    <w:link w:val="BodyText"/>
    <w:rsid w:val="00840C92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840C92"/>
    <w:pPr>
      <w:spacing w:after="0"/>
    </w:pPr>
    <w:rPr>
      <w:sz w:val="23"/>
      <w:szCs w:val="23"/>
    </w:rPr>
  </w:style>
  <w:style w:type="character" w:customStyle="1" w:styleId="BodyText2Char">
    <w:name w:val="Body Text 2 Char"/>
    <w:link w:val="BodyText2"/>
    <w:rsid w:val="00840C92"/>
    <w:rPr>
      <w:rFonts w:ascii="Arial" w:eastAsia="Times New Roman" w:hAnsi="Arial" w:cs="Arial"/>
      <w:sz w:val="23"/>
      <w:szCs w:val="23"/>
    </w:rPr>
  </w:style>
  <w:style w:type="paragraph" w:styleId="BodyText3">
    <w:name w:val="Body Text 3"/>
    <w:basedOn w:val="Normal"/>
    <w:link w:val="BodyText3Char"/>
    <w:rsid w:val="00840C92"/>
    <w:pPr>
      <w:spacing w:after="0"/>
    </w:pPr>
  </w:style>
  <w:style w:type="character" w:customStyle="1" w:styleId="BodyText3Char">
    <w:name w:val="Body Text 3 Char"/>
    <w:basedOn w:val="DefaultParagraphFont"/>
    <w:link w:val="BodyText3"/>
    <w:rsid w:val="00840C92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840C92"/>
    <w:pPr>
      <w:spacing w:after="0"/>
      <w:ind w:left="170"/>
    </w:pPr>
  </w:style>
  <w:style w:type="character" w:customStyle="1" w:styleId="BodyTextIndentChar">
    <w:name w:val="Body Text Indent Char"/>
    <w:link w:val="BodyTextIndent"/>
    <w:rsid w:val="00840C92"/>
    <w:rPr>
      <w:rFonts w:ascii="Arial" w:eastAsia="Times New Roman" w:hAnsi="Arial" w:cs="Arial"/>
      <w:sz w:val="24"/>
      <w:szCs w:val="24"/>
    </w:rPr>
  </w:style>
  <w:style w:type="character" w:styleId="BookTitle">
    <w:name w:val="Book Title"/>
    <w:qFormat/>
    <w:rsid w:val="00840C92"/>
    <w:rPr>
      <w:rFonts w:cs="Times New Roman"/>
      <w:b/>
      <w:bCs/>
      <w:smallCaps/>
      <w:spacing w:val="5"/>
    </w:rPr>
  </w:style>
  <w:style w:type="paragraph" w:customStyle="1" w:styleId="Bullet1">
    <w:name w:val="Bullet 1"/>
    <w:basedOn w:val="Normal"/>
    <w:qFormat/>
    <w:rsid w:val="002833A5"/>
    <w:pPr>
      <w:numPr>
        <w:numId w:val="1"/>
      </w:numPr>
      <w:spacing w:after="40"/>
    </w:pPr>
    <w:rPr>
      <w:szCs w:val="20"/>
      <w:lang w:val="en-US"/>
    </w:rPr>
  </w:style>
  <w:style w:type="paragraph" w:customStyle="1" w:styleId="Bullet2">
    <w:name w:val="Bullet 2"/>
    <w:basedOn w:val="Bullet1"/>
    <w:qFormat/>
    <w:rsid w:val="00840C92"/>
    <w:pPr>
      <w:numPr>
        <w:ilvl w:val="1"/>
      </w:numPr>
    </w:pPr>
  </w:style>
  <w:style w:type="paragraph" w:styleId="Caption">
    <w:name w:val="caption"/>
    <w:basedOn w:val="Normal"/>
    <w:next w:val="Normal"/>
    <w:qFormat/>
    <w:rsid w:val="00840C92"/>
    <w:rPr>
      <w:b/>
      <w:bCs/>
      <w:color w:val="4F81BD"/>
      <w:sz w:val="18"/>
      <w:szCs w:val="18"/>
    </w:rPr>
  </w:style>
  <w:style w:type="character" w:customStyle="1" w:styleId="CharChar13">
    <w:name w:val="Char Char13"/>
    <w:locked/>
    <w:rsid w:val="00840C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harChar14">
    <w:name w:val="Char Char14"/>
    <w:locked/>
    <w:rsid w:val="00840C92"/>
    <w:rPr>
      <w:rFonts w:ascii="Arial" w:eastAsia="Calibri" w:hAnsi="Arial"/>
      <w:b/>
      <w:bCs/>
      <w:color w:val="365F91"/>
      <w:sz w:val="28"/>
      <w:szCs w:val="28"/>
      <w:lang w:val="en-US" w:eastAsia="en-US" w:bidi="ar-SA"/>
    </w:rPr>
  </w:style>
  <w:style w:type="character" w:customStyle="1" w:styleId="CharChar2">
    <w:name w:val="Char Char2"/>
    <w:locked/>
    <w:rsid w:val="00840C92"/>
    <w:rPr>
      <w:rFonts w:cs="Times New Roman"/>
      <w:lang w:val="en-CA" w:eastAsia="x-none"/>
    </w:rPr>
  </w:style>
  <w:style w:type="character" w:styleId="CommentReference">
    <w:name w:val="annotation reference"/>
    <w:uiPriority w:val="99"/>
    <w:semiHidden/>
    <w:rsid w:val="00840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0C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0C9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4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0C92"/>
    <w:rPr>
      <w:rFonts w:ascii="Arial" w:eastAsia="Times New Roman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840C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40C9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840C92"/>
    <w:rPr>
      <w:rFonts w:cs="Times New Roman"/>
      <w:i/>
      <w:iCs/>
    </w:rPr>
  </w:style>
  <w:style w:type="character" w:styleId="FollowedHyperlink">
    <w:name w:val="FollowedHyperlink"/>
    <w:rsid w:val="00840C92"/>
    <w:rPr>
      <w:color w:val="800080"/>
      <w:u w:val="single"/>
    </w:rPr>
  </w:style>
  <w:style w:type="paragraph" w:styleId="Footer">
    <w:name w:val="footer"/>
    <w:basedOn w:val="Normal"/>
    <w:link w:val="FooterChar"/>
    <w:rsid w:val="00840C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840C92"/>
    <w:rPr>
      <w:rFonts w:ascii="Arial" w:eastAsia="Times New Roman" w:hAnsi="Arial" w:cs="Arial"/>
      <w:sz w:val="24"/>
      <w:szCs w:val="24"/>
    </w:rPr>
  </w:style>
  <w:style w:type="character" w:styleId="FootnoteReference">
    <w:name w:val="footnote reference"/>
    <w:semiHidden/>
    <w:rsid w:val="00840C9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40C92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40C92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40C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840C92"/>
    <w:rPr>
      <w:rFonts w:ascii="Arial" w:eastAsia="Times New Roman" w:hAnsi="Arial" w:cs="Arial"/>
      <w:sz w:val="24"/>
      <w:szCs w:val="24"/>
    </w:rPr>
  </w:style>
  <w:style w:type="paragraph" w:customStyle="1" w:styleId="webpagebreak">
    <w:name w:val="web page break"/>
    <w:basedOn w:val="Normal"/>
    <w:qFormat/>
    <w:rsid w:val="00840C92"/>
    <w:pPr>
      <w:pBdr>
        <w:bottom w:val="single" w:sz="4" w:space="1" w:color="auto"/>
      </w:pBdr>
      <w:spacing w:before="360" w:after="240"/>
      <w:ind w:right="115"/>
      <w:jc w:val="center"/>
    </w:pPr>
    <w:rPr>
      <w:b/>
      <w:i/>
      <w:lang w:val="en-US"/>
    </w:rPr>
  </w:style>
  <w:style w:type="character" w:customStyle="1" w:styleId="Heading1Char">
    <w:name w:val="Heading 1 Char"/>
    <w:link w:val="Heading1"/>
    <w:rsid w:val="00A748D0"/>
    <w:rPr>
      <w:rFonts w:ascii="Arial" w:hAnsi="Arial" w:cs="Arial"/>
      <w:b/>
      <w:caps/>
      <w:sz w:val="24"/>
      <w:szCs w:val="24"/>
    </w:rPr>
  </w:style>
  <w:style w:type="character" w:customStyle="1" w:styleId="Heading2Char">
    <w:name w:val="Heading 2 Char"/>
    <w:link w:val="Heading2"/>
    <w:rsid w:val="00A748D0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rsid w:val="00840C92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link w:val="Heading4"/>
    <w:rsid w:val="00840C92"/>
    <w:rPr>
      <w:rFonts w:ascii="Cambria" w:eastAsia="Calibri" w:hAnsi="Cambria" w:cs="Arial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rsid w:val="00840C92"/>
    <w:rPr>
      <w:rFonts w:ascii="Cambria" w:eastAsia="Calibri" w:hAnsi="Cambria" w:cs="Arial"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rsid w:val="00840C92"/>
    <w:rPr>
      <w:rFonts w:ascii="Cambria" w:eastAsia="Calibri" w:hAnsi="Cambria" w:cs="Arial"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rsid w:val="00840C92"/>
    <w:rPr>
      <w:rFonts w:ascii="Cambria" w:eastAsia="Calibri" w:hAnsi="Cambria" w:cs="Arial"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rsid w:val="00840C92"/>
    <w:rPr>
      <w:rFonts w:ascii="Cambria" w:eastAsia="Calibri" w:hAnsi="Cambria" w:cs="Arial"/>
      <w:color w:val="4F81BD"/>
      <w:sz w:val="20"/>
      <w:szCs w:val="20"/>
      <w:lang w:val="en-US"/>
    </w:rPr>
  </w:style>
  <w:style w:type="character" w:customStyle="1" w:styleId="Heading9Char">
    <w:name w:val="Heading 9 Char"/>
    <w:link w:val="Heading9"/>
    <w:rsid w:val="00840C92"/>
    <w:rPr>
      <w:rFonts w:ascii="Cambria" w:eastAsia="Calibri" w:hAnsi="Cambria" w:cs="Arial"/>
      <w:i/>
      <w:iCs/>
      <w:color w:val="404040"/>
      <w:sz w:val="20"/>
      <w:szCs w:val="20"/>
      <w:lang w:val="en-US"/>
    </w:rPr>
  </w:style>
  <w:style w:type="character" w:styleId="Hyperlink">
    <w:name w:val="Hyperlink"/>
    <w:rsid w:val="00840C92"/>
    <w:rPr>
      <w:rFonts w:ascii="Arial" w:hAnsi="Arial" w:cs="Times New Roman"/>
      <w:color w:val="0000FF"/>
      <w:sz w:val="24"/>
      <w:u w:val="single"/>
    </w:rPr>
  </w:style>
  <w:style w:type="character" w:styleId="IntenseEmphasis">
    <w:name w:val="Intense Emphasis"/>
    <w:qFormat/>
    <w:rsid w:val="00840C92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840C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IntenseQuote"/>
    <w:rsid w:val="00840C92"/>
    <w:rPr>
      <w:rFonts w:ascii="Arial" w:eastAsia="Times New Roman" w:hAnsi="Arial" w:cs="Arial"/>
      <w:b/>
      <w:bCs/>
      <w:i/>
      <w:iCs/>
      <w:color w:val="4F81BD"/>
      <w:sz w:val="24"/>
      <w:szCs w:val="24"/>
      <w:lang w:val="en-US"/>
    </w:rPr>
  </w:style>
  <w:style w:type="character" w:styleId="IntenseReference">
    <w:name w:val="Intense Reference"/>
    <w:qFormat/>
    <w:rsid w:val="00840C92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40C92"/>
    <w:pPr>
      <w:ind w:left="720"/>
      <w:contextualSpacing/>
    </w:pPr>
  </w:style>
  <w:style w:type="paragraph" w:styleId="NoSpacing">
    <w:name w:val="No Spacing"/>
    <w:qFormat/>
    <w:rsid w:val="00840C92"/>
    <w:pPr>
      <w:spacing w:after="0" w:line="240" w:lineRule="auto"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840C92"/>
    <w:pPr>
      <w:spacing w:before="100" w:beforeAutospacing="1" w:after="100" w:afterAutospacing="1"/>
    </w:pPr>
    <w:rPr>
      <w:rFonts w:ascii="Times New Roman" w:hAnsi="Times New Roman"/>
      <w:lang w:eastAsia="en-CA"/>
    </w:rPr>
  </w:style>
  <w:style w:type="character" w:styleId="PageNumber">
    <w:name w:val="page number"/>
    <w:basedOn w:val="DefaultParagraphFont"/>
    <w:rsid w:val="00840C92"/>
  </w:style>
  <w:style w:type="paragraph" w:styleId="PlainText">
    <w:name w:val="Plain Text"/>
    <w:basedOn w:val="Normal"/>
    <w:link w:val="PlainTextChar"/>
    <w:rsid w:val="00840C92"/>
    <w:pPr>
      <w:spacing w:after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rsid w:val="00840C92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Quote">
    <w:name w:val="Quote"/>
    <w:basedOn w:val="Normal"/>
    <w:next w:val="Normal"/>
    <w:link w:val="QuoteChar"/>
    <w:qFormat/>
    <w:rsid w:val="00840C92"/>
    <w:rPr>
      <w:i/>
      <w:iCs/>
      <w:color w:val="000000"/>
      <w:lang w:val="en-US"/>
    </w:rPr>
  </w:style>
  <w:style w:type="character" w:customStyle="1" w:styleId="QuoteChar">
    <w:name w:val="Quote Char"/>
    <w:link w:val="Quote"/>
    <w:rsid w:val="00840C92"/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840C92"/>
    <w:rPr>
      <w:rFonts w:cs="Times New Roman"/>
      <w:b/>
      <w:bCs/>
    </w:rPr>
  </w:style>
  <w:style w:type="paragraph" w:customStyle="1" w:styleId="StyleHeading1LatinArial">
    <w:name w:val="Style Heading 1 + (Latin) Arial"/>
    <w:basedOn w:val="Heading1"/>
    <w:rsid w:val="00840C92"/>
  </w:style>
  <w:style w:type="paragraph" w:styleId="Subtitle">
    <w:name w:val="Subtitle"/>
    <w:basedOn w:val="Normal"/>
    <w:next w:val="Normal"/>
    <w:link w:val="SubtitleChar"/>
    <w:qFormat/>
    <w:rsid w:val="00840C92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en-US"/>
    </w:rPr>
  </w:style>
  <w:style w:type="character" w:customStyle="1" w:styleId="SubtitleChar">
    <w:name w:val="Subtitle Char"/>
    <w:link w:val="Subtitle"/>
    <w:rsid w:val="00840C92"/>
    <w:rPr>
      <w:rFonts w:ascii="Cambria" w:eastAsia="Calibri" w:hAnsi="Cambria" w:cs="Arial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qFormat/>
    <w:rsid w:val="00840C92"/>
    <w:rPr>
      <w:rFonts w:cs="Times New Roman"/>
      <w:i/>
      <w:iCs/>
      <w:color w:val="808080"/>
    </w:rPr>
  </w:style>
  <w:style w:type="character" w:styleId="SubtleReference">
    <w:name w:val="Subtle Reference"/>
    <w:qFormat/>
    <w:rsid w:val="00840C92"/>
    <w:rPr>
      <w:rFonts w:cs="Times New Roman"/>
      <w:smallCaps/>
      <w:color w:val="C0504D"/>
      <w:u w:val="single"/>
    </w:rPr>
  </w:style>
  <w:style w:type="table" w:styleId="TableGrid">
    <w:name w:val="Table Grid"/>
    <w:basedOn w:val="TableNormal"/>
    <w:rsid w:val="00840C92"/>
    <w:pPr>
      <w:spacing w:after="0" w:line="240" w:lineRule="auto"/>
    </w:pPr>
    <w:rPr>
      <w:rFonts w:ascii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840C92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rsid w:val="00840C92"/>
    <w:rPr>
      <w:rFonts w:ascii="Cambria" w:eastAsia="Calibri" w:hAnsi="Cambria" w:cs="Arial"/>
      <w:color w:val="17365D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autoRedefine/>
    <w:rsid w:val="00840C92"/>
    <w:pPr>
      <w:spacing w:after="100"/>
    </w:pPr>
  </w:style>
  <w:style w:type="paragraph" w:styleId="TOC2">
    <w:name w:val="toc 2"/>
    <w:basedOn w:val="Normal"/>
    <w:next w:val="Normal"/>
    <w:autoRedefine/>
    <w:rsid w:val="00840C92"/>
    <w:pPr>
      <w:tabs>
        <w:tab w:val="left" w:pos="10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rsid w:val="00840C92"/>
    <w:pPr>
      <w:spacing w:after="100"/>
      <w:ind w:left="440"/>
    </w:pPr>
  </w:style>
  <w:style w:type="paragraph" w:styleId="TOCHeading">
    <w:name w:val="TOC Heading"/>
    <w:basedOn w:val="Heading1"/>
    <w:next w:val="Normal"/>
    <w:qFormat/>
    <w:rsid w:val="00840C9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40C92"/>
    <w:pPr>
      <w:spacing w:after="96" w:line="240" w:lineRule="auto"/>
      <w:ind w:right="113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8D0"/>
    <w:pPr>
      <w:pBdr>
        <w:bottom w:val="single" w:sz="4" w:space="1" w:color="auto"/>
      </w:pBdr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A748D0"/>
    <w:pPr>
      <w:pBdr>
        <w:bottom w:val="none" w:sz="0" w:space="0" w:color="auto"/>
      </w:pBd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qFormat/>
    <w:rsid w:val="00840C92"/>
    <w:pPr>
      <w:keepNext/>
      <w:keepLines/>
      <w:spacing w:before="200" w:after="0"/>
      <w:outlineLvl w:val="2"/>
    </w:pPr>
    <w:rPr>
      <w:rFonts w:eastAsia="Calibri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840C9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qFormat/>
    <w:rsid w:val="00840C92"/>
    <w:pPr>
      <w:keepNext/>
      <w:keepLines/>
      <w:spacing w:before="200" w:after="0"/>
      <w:outlineLvl w:val="4"/>
    </w:pPr>
    <w:rPr>
      <w:rFonts w:ascii="Cambria" w:eastAsia="Calibri" w:hAnsi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40C9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40C9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qFormat/>
    <w:rsid w:val="00840C92"/>
    <w:pPr>
      <w:keepNext/>
      <w:keepLines/>
      <w:spacing w:before="200" w:after="0"/>
      <w:outlineLvl w:val="7"/>
    </w:pPr>
    <w:rPr>
      <w:rFonts w:ascii="Cambria" w:eastAsia="Calibri" w:hAnsi="Cambria"/>
      <w:color w:val="4F81BD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840C92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40C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40C9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0C92"/>
    <w:pPr>
      <w:spacing w:after="0"/>
    </w:pPr>
  </w:style>
  <w:style w:type="character" w:customStyle="1" w:styleId="BodyTextChar">
    <w:name w:val="Body Text Char"/>
    <w:link w:val="BodyText"/>
    <w:rsid w:val="00840C92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840C92"/>
    <w:pPr>
      <w:spacing w:after="0"/>
    </w:pPr>
    <w:rPr>
      <w:sz w:val="23"/>
      <w:szCs w:val="23"/>
    </w:rPr>
  </w:style>
  <w:style w:type="character" w:customStyle="1" w:styleId="BodyText2Char">
    <w:name w:val="Body Text 2 Char"/>
    <w:link w:val="BodyText2"/>
    <w:rsid w:val="00840C92"/>
    <w:rPr>
      <w:rFonts w:ascii="Arial" w:eastAsia="Times New Roman" w:hAnsi="Arial" w:cs="Arial"/>
      <w:sz w:val="23"/>
      <w:szCs w:val="23"/>
    </w:rPr>
  </w:style>
  <w:style w:type="paragraph" w:styleId="BodyText3">
    <w:name w:val="Body Text 3"/>
    <w:basedOn w:val="Normal"/>
    <w:link w:val="BodyText3Char"/>
    <w:rsid w:val="00840C92"/>
    <w:pPr>
      <w:spacing w:after="0"/>
    </w:pPr>
  </w:style>
  <w:style w:type="character" w:customStyle="1" w:styleId="BodyText3Char">
    <w:name w:val="Body Text 3 Char"/>
    <w:basedOn w:val="DefaultParagraphFont"/>
    <w:link w:val="BodyText3"/>
    <w:rsid w:val="00840C92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840C92"/>
    <w:pPr>
      <w:spacing w:after="0"/>
      <w:ind w:left="170"/>
    </w:pPr>
  </w:style>
  <w:style w:type="character" w:customStyle="1" w:styleId="BodyTextIndentChar">
    <w:name w:val="Body Text Indent Char"/>
    <w:link w:val="BodyTextIndent"/>
    <w:rsid w:val="00840C92"/>
    <w:rPr>
      <w:rFonts w:ascii="Arial" w:eastAsia="Times New Roman" w:hAnsi="Arial" w:cs="Arial"/>
      <w:sz w:val="24"/>
      <w:szCs w:val="24"/>
    </w:rPr>
  </w:style>
  <w:style w:type="character" w:styleId="BookTitle">
    <w:name w:val="Book Title"/>
    <w:qFormat/>
    <w:rsid w:val="00840C92"/>
    <w:rPr>
      <w:rFonts w:cs="Times New Roman"/>
      <w:b/>
      <w:bCs/>
      <w:smallCaps/>
      <w:spacing w:val="5"/>
    </w:rPr>
  </w:style>
  <w:style w:type="paragraph" w:customStyle="1" w:styleId="Bullet1">
    <w:name w:val="Bullet 1"/>
    <w:basedOn w:val="Normal"/>
    <w:qFormat/>
    <w:rsid w:val="002833A5"/>
    <w:pPr>
      <w:numPr>
        <w:numId w:val="1"/>
      </w:numPr>
      <w:spacing w:after="40"/>
    </w:pPr>
    <w:rPr>
      <w:szCs w:val="20"/>
      <w:lang w:val="en-US"/>
    </w:rPr>
  </w:style>
  <w:style w:type="paragraph" w:customStyle="1" w:styleId="Bullet2">
    <w:name w:val="Bullet 2"/>
    <w:basedOn w:val="Bullet1"/>
    <w:qFormat/>
    <w:rsid w:val="00840C92"/>
    <w:pPr>
      <w:numPr>
        <w:ilvl w:val="1"/>
      </w:numPr>
    </w:pPr>
  </w:style>
  <w:style w:type="paragraph" w:styleId="Caption">
    <w:name w:val="caption"/>
    <w:basedOn w:val="Normal"/>
    <w:next w:val="Normal"/>
    <w:qFormat/>
    <w:rsid w:val="00840C92"/>
    <w:rPr>
      <w:b/>
      <w:bCs/>
      <w:color w:val="4F81BD"/>
      <w:sz w:val="18"/>
      <w:szCs w:val="18"/>
    </w:rPr>
  </w:style>
  <w:style w:type="character" w:customStyle="1" w:styleId="CharChar13">
    <w:name w:val="Char Char13"/>
    <w:locked/>
    <w:rsid w:val="00840C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harChar14">
    <w:name w:val="Char Char14"/>
    <w:locked/>
    <w:rsid w:val="00840C92"/>
    <w:rPr>
      <w:rFonts w:ascii="Arial" w:eastAsia="Calibri" w:hAnsi="Arial"/>
      <w:b/>
      <w:bCs/>
      <w:color w:val="365F91"/>
      <w:sz w:val="28"/>
      <w:szCs w:val="28"/>
      <w:lang w:val="en-US" w:eastAsia="en-US" w:bidi="ar-SA"/>
    </w:rPr>
  </w:style>
  <w:style w:type="character" w:customStyle="1" w:styleId="CharChar2">
    <w:name w:val="Char Char2"/>
    <w:locked/>
    <w:rsid w:val="00840C92"/>
    <w:rPr>
      <w:rFonts w:cs="Times New Roman"/>
      <w:lang w:val="en-CA" w:eastAsia="x-none"/>
    </w:rPr>
  </w:style>
  <w:style w:type="character" w:styleId="CommentReference">
    <w:name w:val="annotation reference"/>
    <w:uiPriority w:val="99"/>
    <w:semiHidden/>
    <w:rsid w:val="00840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0C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0C9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4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0C92"/>
    <w:rPr>
      <w:rFonts w:ascii="Arial" w:eastAsia="Times New Roman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840C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40C9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840C92"/>
    <w:rPr>
      <w:rFonts w:cs="Times New Roman"/>
      <w:i/>
      <w:iCs/>
    </w:rPr>
  </w:style>
  <w:style w:type="character" w:styleId="FollowedHyperlink">
    <w:name w:val="FollowedHyperlink"/>
    <w:rsid w:val="00840C92"/>
    <w:rPr>
      <w:color w:val="800080"/>
      <w:u w:val="single"/>
    </w:rPr>
  </w:style>
  <w:style w:type="paragraph" w:styleId="Footer">
    <w:name w:val="footer"/>
    <w:basedOn w:val="Normal"/>
    <w:link w:val="FooterChar"/>
    <w:rsid w:val="00840C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840C92"/>
    <w:rPr>
      <w:rFonts w:ascii="Arial" w:eastAsia="Times New Roman" w:hAnsi="Arial" w:cs="Arial"/>
      <w:sz w:val="24"/>
      <w:szCs w:val="24"/>
    </w:rPr>
  </w:style>
  <w:style w:type="character" w:styleId="FootnoteReference">
    <w:name w:val="footnote reference"/>
    <w:semiHidden/>
    <w:rsid w:val="00840C9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840C92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40C92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40C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840C92"/>
    <w:rPr>
      <w:rFonts w:ascii="Arial" w:eastAsia="Times New Roman" w:hAnsi="Arial" w:cs="Arial"/>
      <w:sz w:val="24"/>
      <w:szCs w:val="24"/>
    </w:rPr>
  </w:style>
  <w:style w:type="paragraph" w:customStyle="1" w:styleId="webpagebreak">
    <w:name w:val="web page break"/>
    <w:basedOn w:val="Normal"/>
    <w:qFormat/>
    <w:rsid w:val="00840C92"/>
    <w:pPr>
      <w:pBdr>
        <w:bottom w:val="single" w:sz="4" w:space="1" w:color="auto"/>
      </w:pBdr>
      <w:spacing w:before="360" w:after="240"/>
      <w:ind w:right="115"/>
      <w:jc w:val="center"/>
    </w:pPr>
    <w:rPr>
      <w:b/>
      <w:i/>
      <w:lang w:val="en-US"/>
    </w:rPr>
  </w:style>
  <w:style w:type="character" w:customStyle="1" w:styleId="Heading1Char">
    <w:name w:val="Heading 1 Char"/>
    <w:link w:val="Heading1"/>
    <w:rsid w:val="00A748D0"/>
    <w:rPr>
      <w:rFonts w:ascii="Arial" w:hAnsi="Arial" w:cs="Arial"/>
      <w:b/>
      <w:caps/>
      <w:sz w:val="24"/>
      <w:szCs w:val="24"/>
    </w:rPr>
  </w:style>
  <w:style w:type="character" w:customStyle="1" w:styleId="Heading2Char">
    <w:name w:val="Heading 2 Char"/>
    <w:link w:val="Heading2"/>
    <w:rsid w:val="00A748D0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rsid w:val="00840C92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link w:val="Heading4"/>
    <w:rsid w:val="00840C92"/>
    <w:rPr>
      <w:rFonts w:ascii="Cambria" w:eastAsia="Calibri" w:hAnsi="Cambria" w:cs="Arial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link w:val="Heading5"/>
    <w:rsid w:val="00840C92"/>
    <w:rPr>
      <w:rFonts w:ascii="Cambria" w:eastAsia="Calibri" w:hAnsi="Cambria" w:cs="Arial"/>
      <w:color w:val="243F60"/>
      <w:sz w:val="24"/>
      <w:szCs w:val="24"/>
      <w:lang w:val="en-US"/>
    </w:rPr>
  </w:style>
  <w:style w:type="character" w:customStyle="1" w:styleId="Heading6Char">
    <w:name w:val="Heading 6 Char"/>
    <w:link w:val="Heading6"/>
    <w:rsid w:val="00840C92"/>
    <w:rPr>
      <w:rFonts w:ascii="Cambria" w:eastAsia="Calibri" w:hAnsi="Cambria" w:cs="Arial"/>
      <w:i/>
      <w:iCs/>
      <w:color w:val="243F60"/>
      <w:sz w:val="24"/>
      <w:szCs w:val="24"/>
      <w:lang w:val="en-US"/>
    </w:rPr>
  </w:style>
  <w:style w:type="character" w:customStyle="1" w:styleId="Heading7Char">
    <w:name w:val="Heading 7 Char"/>
    <w:link w:val="Heading7"/>
    <w:rsid w:val="00840C92"/>
    <w:rPr>
      <w:rFonts w:ascii="Cambria" w:eastAsia="Calibri" w:hAnsi="Cambria" w:cs="Arial"/>
      <w:i/>
      <w:iCs/>
      <w:color w:val="404040"/>
      <w:sz w:val="24"/>
      <w:szCs w:val="24"/>
      <w:lang w:val="en-US"/>
    </w:rPr>
  </w:style>
  <w:style w:type="character" w:customStyle="1" w:styleId="Heading8Char">
    <w:name w:val="Heading 8 Char"/>
    <w:link w:val="Heading8"/>
    <w:rsid w:val="00840C92"/>
    <w:rPr>
      <w:rFonts w:ascii="Cambria" w:eastAsia="Calibri" w:hAnsi="Cambria" w:cs="Arial"/>
      <w:color w:val="4F81BD"/>
      <w:sz w:val="20"/>
      <w:szCs w:val="20"/>
      <w:lang w:val="en-US"/>
    </w:rPr>
  </w:style>
  <w:style w:type="character" w:customStyle="1" w:styleId="Heading9Char">
    <w:name w:val="Heading 9 Char"/>
    <w:link w:val="Heading9"/>
    <w:rsid w:val="00840C92"/>
    <w:rPr>
      <w:rFonts w:ascii="Cambria" w:eastAsia="Calibri" w:hAnsi="Cambria" w:cs="Arial"/>
      <w:i/>
      <w:iCs/>
      <w:color w:val="404040"/>
      <w:sz w:val="20"/>
      <w:szCs w:val="20"/>
      <w:lang w:val="en-US"/>
    </w:rPr>
  </w:style>
  <w:style w:type="character" w:styleId="Hyperlink">
    <w:name w:val="Hyperlink"/>
    <w:rsid w:val="00840C92"/>
    <w:rPr>
      <w:rFonts w:ascii="Arial" w:hAnsi="Arial" w:cs="Times New Roman"/>
      <w:color w:val="0000FF"/>
      <w:sz w:val="24"/>
      <w:u w:val="single"/>
    </w:rPr>
  </w:style>
  <w:style w:type="character" w:styleId="IntenseEmphasis">
    <w:name w:val="Intense Emphasis"/>
    <w:qFormat/>
    <w:rsid w:val="00840C92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840C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link w:val="IntenseQuote"/>
    <w:rsid w:val="00840C92"/>
    <w:rPr>
      <w:rFonts w:ascii="Arial" w:eastAsia="Times New Roman" w:hAnsi="Arial" w:cs="Arial"/>
      <w:b/>
      <w:bCs/>
      <w:i/>
      <w:iCs/>
      <w:color w:val="4F81BD"/>
      <w:sz w:val="24"/>
      <w:szCs w:val="24"/>
      <w:lang w:val="en-US"/>
    </w:rPr>
  </w:style>
  <w:style w:type="character" w:styleId="IntenseReference">
    <w:name w:val="Intense Reference"/>
    <w:qFormat/>
    <w:rsid w:val="00840C92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840C92"/>
    <w:pPr>
      <w:ind w:left="720"/>
      <w:contextualSpacing/>
    </w:pPr>
  </w:style>
  <w:style w:type="paragraph" w:styleId="NoSpacing">
    <w:name w:val="No Spacing"/>
    <w:qFormat/>
    <w:rsid w:val="00840C92"/>
    <w:pPr>
      <w:spacing w:after="0" w:line="240" w:lineRule="auto"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rsid w:val="00840C92"/>
    <w:pPr>
      <w:spacing w:before="100" w:beforeAutospacing="1" w:after="100" w:afterAutospacing="1"/>
    </w:pPr>
    <w:rPr>
      <w:rFonts w:ascii="Times New Roman" w:hAnsi="Times New Roman"/>
      <w:lang w:eastAsia="en-CA"/>
    </w:rPr>
  </w:style>
  <w:style w:type="character" w:styleId="PageNumber">
    <w:name w:val="page number"/>
    <w:basedOn w:val="DefaultParagraphFont"/>
    <w:rsid w:val="00840C92"/>
  </w:style>
  <w:style w:type="paragraph" w:styleId="PlainText">
    <w:name w:val="Plain Text"/>
    <w:basedOn w:val="Normal"/>
    <w:link w:val="PlainTextChar"/>
    <w:rsid w:val="00840C92"/>
    <w:pPr>
      <w:spacing w:after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rsid w:val="00840C92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Quote">
    <w:name w:val="Quote"/>
    <w:basedOn w:val="Normal"/>
    <w:next w:val="Normal"/>
    <w:link w:val="QuoteChar"/>
    <w:qFormat/>
    <w:rsid w:val="00840C92"/>
    <w:rPr>
      <w:i/>
      <w:iCs/>
      <w:color w:val="000000"/>
      <w:lang w:val="en-US"/>
    </w:rPr>
  </w:style>
  <w:style w:type="character" w:customStyle="1" w:styleId="QuoteChar">
    <w:name w:val="Quote Char"/>
    <w:link w:val="Quote"/>
    <w:rsid w:val="00840C92"/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840C92"/>
    <w:rPr>
      <w:rFonts w:cs="Times New Roman"/>
      <w:b/>
      <w:bCs/>
    </w:rPr>
  </w:style>
  <w:style w:type="paragraph" w:customStyle="1" w:styleId="StyleHeading1LatinArial">
    <w:name w:val="Style Heading 1 + (Latin) Arial"/>
    <w:basedOn w:val="Heading1"/>
    <w:rsid w:val="00840C92"/>
  </w:style>
  <w:style w:type="paragraph" w:styleId="Subtitle">
    <w:name w:val="Subtitle"/>
    <w:basedOn w:val="Normal"/>
    <w:next w:val="Normal"/>
    <w:link w:val="SubtitleChar"/>
    <w:qFormat/>
    <w:rsid w:val="00840C92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en-US"/>
    </w:rPr>
  </w:style>
  <w:style w:type="character" w:customStyle="1" w:styleId="SubtitleChar">
    <w:name w:val="Subtitle Char"/>
    <w:link w:val="Subtitle"/>
    <w:rsid w:val="00840C92"/>
    <w:rPr>
      <w:rFonts w:ascii="Cambria" w:eastAsia="Calibri" w:hAnsi="Cambria" w:cs="Arial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qFormat/>
    <w:rsid w:val="00840C92"/>
    <w:rPr>
      <w:rFonts w:cs="Times New Roman"/>
      <w:i/>
      <w:iCs/>
      <w:color w:val="808080"/>
    </w:rPr>
  </w:style>
  <w:style w:type="character" w:styleId="SubtleReference">
    <w:name w:val="Subtle Reference"/>
    <w:qFormat/>
    <w:rsid w:val="00840C92"/>
    <w:rPr>
      <w:rFonts w:cs="Times New Roman"/>
      <w:smallCaps/>
      <w:color w:val="C0504D"/>
      <w:u w:val="single"/>
    </w:rPr>
  </w:style>
  <w:style w:type="table" w:styleId="TableGrid">
    <w:name w:val="Table Grid"/>
    <w:basedOn w:val="TableNormal"/>
    <w:rsid w:val="00840C92"/>
    <w:pPr>
      <w:spacing w:after="0" w:line="240" w:lineRule="auto"/>
    </w:pPr>
    <w:rPr>
      <w:rFonts w:ascii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840C92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rsid w:val="00840C92"/>
    <w:rPr>
      <w:rFonts w:ascii="Cambria" w:eastAsia="Calibri" w:hAnsi="Cambria" w:cs="Arial"/>
      <w:color w:val="17365D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autoRedefine/>
    <w:rsid w:val="00840C92"/>
    <w:pPr>
      <w:spacing w:after="100"/>
    </w:pPr>
  </w:style>
  <w:style w:type="paragraph" w:styleId="TOC2">
    <w:name w:val="toc 2"/>
    <w:basedOn w:val="Normal"/>
    <w:next w:val="Normal"/>
    <w:autoRedefine/>
    <w:rsid w:val="00840C92"/>
    <w:pPr>
      <w:tabs>
        <w:tab w:val="left" w:pos="10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rsid w:val="00840C92"/>
    <w:pPr>
      <w:spacing w:after="100"/>
      <w:ind w:left="440"/>
    </w:pPr>
  </w:style>
  <w:style w:type="paragraph" w:styleId="TOCHeading">
    <w:name w:val="TOC Heading"/>
    <w:basedOn w:val="Heading1"/>
    <w:next w:val="Normal"/>
    <w:qFormat/>
    <w:rsid w:val="00840C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ca.okfn.org/okfestmtl/?lang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lticulturalmeanderings.wordpress.com/2016/04/02/trudeau-government-asks-for-ideas-on-open-governmen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connex.gc.ca/blog/view/19598226/what-exactly-is-open-government-where-we%E2%80%99re-headed-part-2-of-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open.canada.ca/en/consultations/what-we-heard-summary-repor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1914-5F32-4FC8-A0BC-E62CE23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Kearney, Thomas</dc:creator>
  <cp:lastModifiedBy>Kearney, Thomas</cp:lastModifiedBy>
  <cp:revision>8</cp:revision>
  <cp:lastPrinted>2015-01-06T19:23:00Z</cp:lastPrinted>
  <dcterms:created xsi:type="dcterms:W3CDTF">2016-10-03T12:59:00Z</dcterms:created>
  <dcterms:modified xsi:type="dcterms:W3CDTF">2016-11-08T15:51:00Z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eba48c09-de31-4652-9a47-709b326b4ca9</vt:lpwstr>
  </property>
  <property fmtid="{D5CDD505-2E9C-101B-9397-08002B2CF9AE}" pid="3" name="TBSSCTCLASSIFICATION">
    <vt:lpwstr>UNCLASSIFIED</vt:lpwstr>
  </property>
  <property fmtid="{D5CDD505-2E9C-101B-9397-08002B2CF9AE}" pid="4" name="SECCLASS">
    <vt:lpwstr>CLASSN</vt:lpwstr>
  </property>
</Properties>
</file>